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sz w:val="44"/>
          <w:szCs w:val="44"/>
        </w:rPr>
      </w:pPr>
      <w:r>
        <w:drawing>
          <wp:anchor distT="0" distB="0" distL="114300" distR="114300" simplePos="0" relativeHeight="251659264" behindDoc="1" locked="0" layoutInCell="1" allowOverlap="1">
            <wp:simplePos x="0" y="0"/>
            <wp:positionH relativeFrom="page">
              <wp:align>center</wp:align>
            </wp:positionH>
            <wp:positionV relativeFrom="page">
              <wp:align>top</wp:align>
            </wp:positionV>
            <wp:extent cx="6191250" cy="1619250"/>
            <wp:effectExtent l="0" t="0" r="0" b="0"/>
            <wp:wrapNone/>
            <wp:docPr id="1" name="图片 2" descr="E:\G_Drive\QQFILE\教育局\教育局.png教育局"/>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1" name="图片 2" descr="E:\G_Drive\QQFILE\教育局\教育局.png教育局"/>
                    <pic:cNvPicPr>
                      <a:picLocks noChangeAspect="true"/>
                    </pic:cNvPicPr>
                  </pic:nvPicPr>
                  <pic:blipFill>
                    <a:blip r:embed="rId5"/>
                    <a:stretch>
                      <a:fillRect/>
                    </a:stretch>
                  </pic:blipFill>
                  <pic:spPr>
                    <a:xfrm>
                      <a:off x="0" y="0"/>
                      <a:ext cx="6191250" cy="1619250"/>
                    </a:xfrm>
                    <a:prstGeom prst="rect">
                      <a:avLst/>
                    </a:prstGeom>
                    <a:noFill/>
                    <a:ln>
                      <a:noFill/>
                    </a:ln>
                  </pic:spPr>
                </pic:pic>
              </a:graphicData>
            </a:graphic>
          </wp:anchor>
        </w:drawing>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sz w:val="44"/>
          <w:szCs w:val="44"/>
        </w:rPr>
      </w:pP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福田区教育局关于高等院校合作项目</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202</w:t>
      </w:r>
      <w:r>
        <w:rPr>
          <w:rFonts w:hint="default" w:ascii="方正小标宋简体" w:hAnsi="方正小标宋简体" w:eastAsia="方正小标宋简体" w:cs="方正小标宋简体"/>
          <w:sz w:val="44"/>
          <w:szCs w:val="44"/>
          <w:lang w:val="en-US"/>
        </w:rPr>
        <w:t>4</w:t>
      </w:r>
      <w:r>
        <w:rPr>
          <w:rFonts w:hint="eastAsia" w:ascii="方正小标宋简体" w:hAnsi="方正小标宋简体" w:eastAsia="方正小标宋简体" w:cs="方正小标宋简体"/>
          <w:sz w:val="44"/>
          <w:szCs w:val="44"/>
        </w:rPr>
        <w:t>年工作总结的报告</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ascii="方正小标宋简体" w:hAnsi="方正小标宋简体" w:eastAsia="方正小标宋简体" w:cs="方正小标宋简体"/>
          <w:sz w:val="44"/>
          <w:szCs w:val="44"/>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区政府：</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2020年9月至2021年6月</w:t>
      </w:r>
      <w:r>
        <w:rPr>
          <w:rFonts w:hint="eastAsia" w:ascii="仿宋_GB2312" w:hAnsi="仿宋_GB2312" w:eastAsia="仿宋_GB2312" w:cs="仿宋_GB2312"/>
          <w:sz w:val="32"/>
          <w:szCs w:val="32"/>
        </w:rPr>
        <w:t>，我区先后与清华大学</w:t>
      </w:r>
      <w:r>
        <w:rPr>
          <w:rFonts w:hint="eastAsia" w:ascii="仿宋_GB2312" w:hAnsi="仿宋_GB2312" w:eastAsia="仿宋_GB2312" w:cs="仿宋_GB2312"/>
          <w:sz w:val="32"/>
          <w:szCs w:val="32"/>
          <w:lang w:eastAsia="zh-CN"/>
        </w:rPr>
        <w:t>经管学院</w:t>
      </w:r>
      <w:r>
        <w:rPr>
          <w:rFonts w:hint="eastAsia" w:ascii="仿宋_GB2312" w:hAnsi="仿宋_GB2312" w:eastAsia="仿宋_GB2312" w:cs="仿宋_GB2312"/>
          <w:sz w:val="32"/>
          <w:szCs w:val="32"/>
        </w:rPr>
        <w:t>、深圳高等金融研究院、香港大学</w:t>
      </w:r>
      <w:r>
        <w:rPr>
          <w:rFonts w:hint="eastAsia" w:ascii="仿宋_GB2312" w:hAnsi="仿宋_GB2312" w:eastAsia="仿宋_GB2312" w:cs="仿宋_GB2312"/>
          <w:sz w:val="32"/>
          <w:szCs w:val="32"/>
          <w:lang w:eastAsia="zh-CN"/>
        </w:rPr>
        <w:t>、深圳大学</w:t>
      </w:r>
      <w:r>
        <w:rPr>
          <w:rFonts w:hint="eastAsia" w:ascii="仿宋_GB2312" w:hAnsi="仿宋_GB2312" w:eastAsia="仿宋_GB2312" w:cs="仿宋_GB2312"/>
          <w:sz w:val="32"/>
          <w:szCs w:val="32"/>
        </w:rPr>
        <w:t>签订协议，合作共建高等教育项目。按照相关协议精神，</w:t>
      </w:r>
      <w:r>
        <w:rPr>
          <w:rFonts w:hint="eastAsia" w:ascii="仿宋_GB2312" w:hAnsi="仿宋_GB2312" w:eastAsia="仿宋_GB2312" w:cs="仿宋_GB2312"/>
          <w:sz w:val="32"/>
          <w:szCs w:val="32"/>
          <w:lang w:eastAsia="zh-CN"/>
        </w:rPr>
        <w:t>各</w:t>
      </w:r>
      <w:r>
        <w:rPr>
          <w:rFonts w:hint="eastAsia" w:ascii="仿宋_GB2312" w:hAnsi="仿宋_GB2312" w:eastAsia="仿宋_GB2312" w:cs="仿宋_GB2312"/>
          <w:sz w:val="32"/>
          <w:szCs w:val="32"/>
        </w:rPr>
        <w:t>单位需于每年3月底前向区政府提交上一年度《工作总结》，内容主要包括院方总体发展情况，以及为我区提供的专项服务完成情况。</w:t>
      </w:r>
      <w:r>
        <w:rPr>
          <w:rFonts w:hint="eastAsia" w:ascii="仿宋_GB2312" w:hAnsi="仿宋_GB2312" w:eastAsia="仿宋_GB2312" w:cs="仿宋_GB2312"/>
          <w:sz w:val="32"/>
          <w:szCs w:val="32"/>
          <w:lang w:val="en-US" w:eastAsia="zh-CN"/>
        </w:rPr>
        <w:t>我局积极督促指导</w:t>
      </w:r>
      <w:r>
        <w:rPr>
          <w:rFonts w:hint="eastAsia" w:ascii="仿宋_GB2312" w:hAnsi="仿宋_GB2312" w:eastAsia="仿宋_GB2312" w:cs="仿宋_GB2312"/>
          <w:sz w:val="32"/>
          <w:szCs w:val="32"/>
        </w:rPr>
        <w:t>清华大学经济管理深圳研究院、深圳高等金融研究院、香港大学经管学院（深圳）</w:t>
      </w:r>
      <w:r>
        <w:rPr>
          <w:rFonts w:hint="eastAsia" w:ascii="仿宋_GB2312" w:hAnsi="仿宋_GB2312" w:eastAsia="仿宋_GB2312" w:cs="仿宋_GB2312"/>
          <w:sz w:val="32"/>
          <w:szCs w:val="32"/>
          <w:lang w:eastAsia="zh-CN"/>
        </w:rPr>
        <w:t>、深圳香蜜湖国际金融科技研究院对</w:t>
      </w:r>
      <w:r>
        <w:rPr>
          <w:rFonts w:hint="eastAsia" w:ascii="仿宋_GB2312" w:hAnsi="仿宋_GB2312" w:eastAsia="仿宋_GB2312" w:cs="仿宋_GB2312"/>
          <w:sz w:val="32"/>
          <w:szCs w:val="32"/>
          <w:lang w:val="en-US" w:eastAsia="zh-CN"/>
        </w:rPr>
        <w:t>2024年工作进行总结，并对4</w:t>
      </w:r>
      <w:r>
        <w:rPr>
          <w:rFonts w:hint="eastAsia" w:ascii="仿宋_GB2312" w:hAnsi="仿宋_GB2312" w:eastAsia="仿宋_GB2312" w:cs="仿宋_GB2312"/>
          <w:sz w:val="32"/>
          <w:szCs w:val="32"/>
        </w:rPr>
        <w:t>家单位提交的《202</w:t>
      </w:r>
      <w:r>
        <w:rPr>
          <w:rFonts w:hint="default" w:ascii="仿宋_GB2312" w:hAnsi="仿宋_GB2312" w:eastAsia="仿宋_GB2312" w:cs="仿宋_GB2312"/>
          <w:sz w:val="32"/>
          <w:szCs w:val="32"/>
          <w:lang w:val="en-US" w:eastAsia="zh-CN"/>
        </w:rPr>
        <w:t>4</w:t>
      </w:r>
      <w:r>
        <w:rPr>
          <w:rFonts w:hint="eastAsia" w:ascii="仿宋_GB2312" w:hAnsi="仿宋_GB2312" w:eastAsia="仿宋_GB2312" w:cs="仿宋_GB2312"/>
          <w:sz w:val="32"/>
          <w:szCs w:val="32"/>
        </w:rPr>
        <w:t>年工作总结》（附件1</w:t>
      </w:r>
      <w:r>
        <w:rPr>
          <w:rFonts w:hint="eastAsia" w:ascii="仿宋_GB2312" w:hAnsi="仿宋_GB2312" w:eastAsia="仿宋_GB2312" w:cs="仿宋_GB2312"/>
          <w:sz w:val="32"/>
          <w:szCs w:val="32"/>
          <w:lang w:val="en-US" w:eastAsia="zh-CN"/>
        </w:rPr>
        <w:t>-4</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进行梳理汇总。此外，根据协议约定，清华大学经济管理深圳研究院提交三年期自评报告（附件</w:t>
      </w:r>
      <w:r>
        <w:rPr>
          <w:rFonts w:hint="eastAsia" w:ascii="仿宋_GB2312" w:hAnsi="仿宋_GB2312" w:eastAsia="仿宋_GB2312" w:cs="仿宋_GB2312"/>
          <w:sz w:val="32"/>
          <w:szCs w:val="32"/>
          <w:lang w:val="en-US" w:eastAsia="zh-CN"/>
        </w:rPr>
        <w:t>5</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sz w:val="32"/>
          <w:szCs w:val="32"/>
          <w:lang w:eastAsia="zh-CN"/>
        </w:rPr>
        <w:t>我局对其开展首次周期性考核工作（其余</w:t>
      </w:r>
      <w:r>
        <w:rPr>
          <w:rFonts w:hint="eastAsia" w:ascii="仿宋_GB2312" w:hAnsi="仿宋_GB2312" w:eastAsia="仿宋_GB2312" w:cs="仿宋_GB2312"/>
          <w:sz w:val="32"/>
          <w:szCs w:val="32"/>
          <w:lang w:val="en-US" w:eastAsia="zh-CN"/>
        </w:rPr>
        <w:t>3</w:t>
      </w:r>
      <w:r>
        <w:rPr>
          <w:rFonts w:hint="eastAsia" w:ascii="仿宋_GB2312" w:hAnsi="仿宋_GB2312" w:eastAsia="仿宋_GB2312" w:cs="仿宋_GB2312"/>
          <w:sz w:val="32"/>
          <w:szCs w:val="32"/>
          <w:lang w:eastAsia="zh-CN"/>
        </w:rPr>
        <w:t>所研究院暂未达到周期性考核时间）。经梳理汇总</w:t>
      </w:r>
      <w:r>
        <w:rPr>
          <w:rFonts w:hint="eastAsia" w:ascii="仿宋_GB2312" w:hAnsi="仿宋_GB2312" w:eastAsia="仿宋_GB2312" w:cs="仿宋_GB2312"/>
          <w:sz w:val="32"/>
          <w:szCs w:val="32"/>
          <w:lang w:val="en-US" w:eastAsia="zh-CN"/>
        </w:rPr>
        <w:t>4</w:t>
      </w:r>
      <w:r>
        <w:rPr>
          <w:rFonts w:hint="eastAsia" w:ascii="仿宋_GB2312" w:hAnsi="仿宋_GB2312" w:eastAsia="仿宋_GB2312" w:cs="仿宋_GB2312"/>
          <w:sz w:val="32"/>
          <w:szCs w:val="32"/>
          <w:lang w:eastAsia="zh-CN"/>
        </w:rPr>
        <w:t>所研究院工作，</w:t>
      </w:r>
      <w:r>
        <w:rPr>
          <w:rFonts w:hint="eastAsia" w:ascii="仿宋_GB2312" w:hAnsi="仿宋_GB2312" w:eastAsia="仿宋_GB2312" w:cs="仿宋_GB2312"/>
          <w:sz w:val="32"/>
          <w:szCs w:val="32"/>
        </w:rPr>
        <w:t>现将情况汇报如下：</w:t>
      </w:r>
    </w:p>
    <w:p>
      <w:pPr>
        <w:keepNext w:val="0"/>
        <w:keepLines w:val="0"/>
        <w:pageBreakBefore w:val="0"/>
        <w:widowControl w:val="0"/>
        <w:numPr>
          <w:ilvl w:val="0"/>
          <w:numId w:val="1"/>
        </w:numPr>
        <w:kinsoku/>
        <w:wordWrap/>
        <w:overflowPunct/>
        <w:topLinePunct w:val="0"/>
        <w:autoSpaceDE/>
        <w:autoSpaceDN/>
        <w:bidi w:val="0"/>
        <w:adjustRightInd/>
        <w:snapToGrid/>
        <w:spacing w:line="560" w:lineRule="exact"/>
        <w:ind w:firstLine="640"/>
        <w:textAlignment w:val="auto"/>
        <w:rPr>
          <w:rFonts w:ascii="黑体" w:hAnsi="黑体" w:eastAsia="黑体" w:cs="黑体"/>
          <w:sz w:val="32"/>
          <w:szCs w:val="32"/>
        </w:rPr>
      </w:pPr>
      <w:r>
        <w:rPr>
          <w:rFonts w:hint="eastAsia" w:ascii="黑体" w:hAnsi="黑体" w:eastAsia="黑体" w:cs="黑体"/>
          <w:sz w:val="32"/>
          <w:szCs w:val="32"/>
        </w:rPr>
        <w:t>清华大学经济管理深圳研究院相关情况</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楷体_GB2312" w:hAnsi="楷体_GB2312" w:eastAsia="楷体_GB2312" w:cs="楷体_GB2312"/>
          <w:sz w:val="32"/>
          <w:szCs w:val="32"/>
        </w:rPr>
      </w:pPr>
      <w:r>
        <w:rPr>
          <w:rFonts w:hint="eastAsia" w:ascii="楷体_GB2312" w:hAnsi="楷体_GB2312" w:eastAsia="楷体_GB2312" w:cs="楷体_GB2312"/>
          <w:sz w:val="32"/>
          <w:szCs w:val="32"/>
        </w:rPr>
        <w:t>（一）研究院总体发展情况</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楷体_GB2312" w:hAnsi="楷体_GB2312" w:eastAsia="仿宋_GB2312" w:cs="楷体_GB2312"/>
          <w:sz w:val="32"/>
          <w:szCs w:val="32"/>
          <w:highlight w:val="none"/>
          <w:lang w:eastAsia="zh-CN"/>
        </w:rPr>
      </w:pPr>
      <w:r>
        <w:rPr>
          <w:rFonts w:hint="eastAsia" w:ascii="仿宋_GB2312" w:hAnsi="仿宋_GB2312" w:eastAsia="仿宋_GB2312" w:cs="仿宋_GB2312"/>
          <w:sz w:val="32"/>
          <w:szCs w:val="32"/>
          <w:lang w:val="en-US" w:eastAsia="zh-CN"/>
        </w:rPr>
        <w:t>目前，研究院</w:t>
      </w:r>
      <w:r>
        <w:rPr>
          <w:rFonts w:hint="eastAsia" w:ascii="仿宋_GB2312" w:hAnsi="仿宋_GB2312" w:eastAsia="仿宋_GB2312" w:cs="仿宋_GB2312"/>
          <w:sz w:val="32"/>
          <w:szCs w:val="32"/>
        </w:rPr>
        <w:t>采用北京深圳共建模式，经管</w:t>
      </w:r>
      <w:r>
        <w:rPr>
          <w:rFonts w:hint="eastAsia" w:ascii="仿宋_GB2312" w:hAnsi="仿宋_GB2312" w:eastAsia="仿宋_GB2312" w:cs="仿宋_GB2312"/>
          <w:sz w:val="32"/>
          <w:szCs w:val="32"/>
          <w:lang w:eastAsia="zh-CN"/>
        </w:rPr>
        <w:t>学院</w:t>
      </w:r>
      <w:r>
        <w:rPr>
          <w:rFonts w:hint="eastAsia" w:ascii="仿宋_GB2312" w:hAnsi="仿宋_GB2312" w:eastAsia="仿宋_GB2312" w:cs="仿宋_GB2312"/>
          <w:sz w:val="32"/>
          <w:szCs w:val="32"/>
        </w:rPr>
        <w:t>四个一级学科中已完成三个学科落地</w:t>
      </w:r>
      <w:r>
        <w:rPr>
          <w:rFonts w:hint="eastAsia" w:ascii="仿宋_GB2312" w:hAnsi="仿宋_GB2312" w:eastAsia="仿宋_GB2312" w:cs="仿宋_GB2312"/>
          <w:sz w:val="32"/>
          <w:szCs w:val="32"/>
          <w:lang w:eastAsia="zh-CN"/>
        </w:rPr>
        <w:t>深圳</w:t>
      </w:r>
      <w:r>
        <w:rPr>
          <w:rFonts w:hint="eastAsia" w:ascii="仿宋_GB2312" w:hAnsi="仿宋_GB2312" w:eastAsia="仿宋_GB2312" w:cs="仿宋_GB2312"/>
          <w:sz w:val="32"/>
          <w:szCs w:val="32"/>
        </w:rPr>
        <w:t>，2024年金融硕士蝉联FT排名全球第5名，连续3年进入世界前十，稳居亚洲榜首</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b/>
          <w:bCs/>
          <w:sz w:val="32"/>
          <w:szCs w:val="32"/>
          <w:lang w:eastAsia="zh-CN"/>
        </w:rPr>
        <w:t>在教育教学方面</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b w:val="0"/>
          <w:bCs w:val="0"/>
          <w:sz w:val="32"/>
          <w:szCs w:val="32"/>
          <w:lang w:val="en-US" w:eastAsia="zh-CN"/>
        </w:rPr>
        <w:t>研究院</w:t>
      </w:r>
      <w:r>
        <w:rPr>
          <w:rFonts w:hint="eastAsia" w:ascii="仿宋_GB2312" w:hAnsi="仿宋_GB2312" w:eastAsia="仿宋_GB2312" w:cs="仿宋_GB2312"/>
          <w:sz w:val="32"/>
          <w:szCs w:val="32"/>
          <w:lang w:eastAsia="zh-CN"/>
        </w:rPr>
        <w:t>以不低于清华大学的标准</w:t>
      </w:r>
      <w:r>
        <w:rPr>
          <w:rFonts w:hint="eastAsia" w:ascii="仿宋_GB2312" w:hAnsi="仿宋_GB2312" w:eastAsia="仿宋_GB2312" w:cs="仿宋_GB2312"/>
          <w:sz w:val="32"/>
          <w:szCs w:val="32"/>
          <w:lang w:val="en-US" w:eastAsia="zh-CN"/>
        </w:rPr>
        <w:t>引进教师与高层次人才共13名，专业硕士、EMBA、高管教育等累计招生949人次，</w:t>
      </w:r>
      <w:r>
        <w:rPr>
          <w:rFonts w:hint="eastAsia" w:ascii="仿宋_GB2312" w:hAnsi="仿宋_GB2312" w:eastAsia="仿宋_GB2312" w:cs="仿宋_GB2312"/>
          <w:b w:val="0"/>
          <w:bCs w:val="0"/>
          <w:sz w:val="32"/>
          <w:szCs w:val="32"/>
        </w:rPr>
        <w:t>人才培养工作</w:t>
      </w:r>
      <w:r>
        <w:rPr>
          <w:rFonts w:hint="eastAsia" w:ascii="仿宋_GB2312" w:hAnsi="仿宋_GB2312" w:eastAsia="仿宋_GB2312" w:cs="仿宋_GB2312"/>
          <w:b w:val="0"/>
          <w:bCs w:val="0"/>
          <w:sz w:val="32"/>
          <w:szCs w:val="32"/>
          <w:lang w:val="en-US" w:eastAsia="zh-CN"/>
        </w:rPr>
        <w:t>稳步推进</w:t>
      </w: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b/>
          <w:bCs/>
          <w:sz w:val="32"/>
          <w:szCs w:val="32"/>
          <w:lang w:val="en-US" w:eastAsia="zh-CN"/>
        </w:rPr>
        <w:t>在决策参考方面，</w:t>
      </w:r>
      <w:r>
        <w:rPr>
          <w:rFonts w:hint="eastAsia" w:ascii="仿宋_GB2312" w:hAnsi="仿宋_GB2312" w:eastAsia="仿宋_GB2312" w:cs="仿宋_GB2312"/>
          <w:sz w:val="32"/>
          <w:szCs w:val="32"/>
          <w:highlight w:val="none"/>
          <w:lang w:val="en-US" w:eastAsia="zh-CN"/>
        </w:rPr>
        <w:t>累计完成专报20篇，</w:t>
      </w:r>
      <w:r>
        <w:rPr>
          <w:rFonts w:hint="eastAsia" w:ascii="仿宋_GB2312" w:hAnsi="仿宋_GB2312" w:eastAsia="仿宋_GB2312" w:cs="仿宋_GB2312"/>
          <w:b w:val="0"/>
          <w:bCs w:val="0"/>
          <w:sz w:val="32"/>
          <w:szCs w:val="32"/>
          <w:highlight w:val="none"/>
          <w:lang w:val="en-US" w:eastAsia="zh-CN"/>
        </w:rPr>
        <w:t>涵盖量子科技、软实力建设、新质生产力科研支撑体系等多领域，</w:t>
      </w:r>
      <w:r>
        <w:rPr>
          <w:rFonts w:hint="eastAsia" w:ascii="仿宋_GB2312" w:hAnsi="仿宋_GB2312" w:eastAsia="仿宋_GB2312" w:cs="仿宋_GB2312"/>
          <w:b w:val="0"/>
          <w:bCs w:val="0"/>
          <w:sz w:val="32"/>
          <w:szCs w:val="32"/>
          <w:lang w:val="en-US" w:eastAsia="zh-CN"/>
        </w:rPr>
        <w:t>其中1篇被中央有关部门采用，1篇被中国社会科学院采用，6篇被广东省委有关部门采用，2篇被深圳市委领导采用，另有2篇上报中央、5篇递交北京市科协、1篇递交深圳市市委常委等待批示，报告质量较高，决策支撑效果良好</w:t>
      </w:r>
      <w:r>
        <w:rPr>
          <w:rFonts w:hint="eastAsia" w:ascii="仿宋_GB2312" w:hAnsi="仿宋_GB2312" w:eastAsia="仿宋_GB2312" w:cs="仿宋_GB2312"/>
          <w:b w:val="0"/>
          <w:bCs w:val="0"/>
          <w:sz w:val="32"/>
          <w:szCs w:val="32"/>
          <w:highlight w:val="none"/>
          <w:lang w:val="en-US" w:eastAsia="zh-CN"/>
        </w:rPr>
        <w:t>。</w:t>
      </w:r>
      <w:r>
        <w:rPr>
          <w:rFonts w:hint="eastAsia" w:ascii="仿宋_GB2312" w:hAnsi="仿宋_GB2312" w:eastAsia="仿宋_GB2312" w:cs="仿宋_GB2312"/>
          <w:b/>
          <w:bCs/>
          <w:sz w:val="32"/>
          <w:szCs w:val="32"/>
          <w:highlight w:val="none"/>
          <w:lang w:val="en-US" w:eastAsia="zh-CN"/>
        </w:rPr>
        <w:t>在政府培训方面，</w:t>
      </w:r>
      <w:r>
        <w:rPr>
          <w:rFonts w:hint="eastAsia" w:ascii="仿宋_GB2312" w:hAnsi="仿宋_GB2312" w:eastAsia="仿宋_GB2312" w:cs="仿宋_GB2312"/>
          <w:b w:val="0"/>
          <w:bCs w:val="0"/>
          <w:sz w:val="32"/>
          <w:szCs w:val="32"/>
          <w:highlight w:val="none"/>
          <w:lang w:val="en-US" w:eastAsia="zh-CN"/>
        </w:rPr>
        <w:t>合计完成培训22次，</w:t>
      </w:r>
      <w:r>
        <w:rPr>
          <w:rFonts w:hint="eastAsia" w:ascii="仿宋_GB2312" w:hAnsi="仿宋_GB2312" w:eastAsia="仿宋_GB2312" w:cs="仿宋_GB2312"/>
          <w:b w:val="0"/>
          <w:bCs w:val="0"/>
          <w:sz w:val="32"/>
          <w:szCs w:val="32"/>
          <w:lang w:val="en-US" w:eastAsia="zh-CN"/>
        </w:rPr>
        <w:t>研究院针对新阶层人士、政府管理干部、非公企业党组织书记等不同群体需求，设置涵盖数字化转型、科技创新管理、人工智能等多领域内容。师资汇聚清华教授、</w:t>
      </w:r>
      <w:r>
        <w:rPr>
          <w:rFonts w:hint="eastAsia" w:ascii="仿宋_GB2312" w:hAnsi="仿宋_GB2312" w:eastAsia="仿宋_GB2312" w:cs="仿宋_GB2312"/>
          <w:b w:val="0"/>
          <w:bCs w:val="0"/>
          <w:sz w:val="32"/>
          <w:szCs w:val="32"/>
          <w:highlight w:val="none"/>
          <w:lang w:val="en-US" w:eastAsia="zh-CN"/>
        </w:rPr>
        <w:t>专业机构人员</w:t>
      </w:r>
      <w:r>
        <w:rPr>
          <w:rFonts w:hint="eastAsia" w:ascii="仿宋_GB2312" w:hAnsi="仿宋_GB2312" w:eastAsia="仿宋_GB2312" w:cs="仿宋_GB2312"/>
          <w:b w:val="0"/>
          <w:bCs w:val="0"/>
          <w:sz w:val="32"/>
          <w:szCs w:val="32"/>
          <w:lang w:val="en-US" w:eastAsia="zh-CN"/>
        </w:rPr>
        <w:t>及产业部门业务骨干，教学模式多元，涵盖</w:t>
      </w:r>
      <w:r>
        <w:rPr>
          <w:rFonts w:hint="eastAsia" w:ascii="仿宋_GB2312" w:hAnsi="仿宋_GB2312" w:eastAsia="仿宋_GB2312" w:cs="仿宋_GB2312"/>
          <w:b w:val="0"/>
          <w:bCs w:val="0"/>
          <w:sz w:val="32"/>
          <w:szCs w:val="32"/>
          <w:highlight w:val="none"/>
          <w:lang w:val="en-US" w:eastAsia="zh-CN"/>
        </w:rPr>
        <w:t>线下脱产学习</w:t>
      </w:r>
      <w:r>
        <w:rPr>
          <w:rFonts w:hint="eastAsia" w:ascii="仿宋_GB2312" w:hAnsi="仿宋_GB2312" w:eastAsia="仿宋_GB2312" w:cs="仿宋_GB2312"/>
          <w:b w:val="0"/>
          <w:bCs w:val="0"/>
          <w:sz w:val="32"/>
          <w:szCs w:val="32"/>
          <w:lang w:val="en-US" w:eastAsia="zh-CN"/>
        </w:rPr>
        <w:t>、线上课程、专题培训班及研讨会等多种形式</w:t>
      </w:r>
      <w:r>
        <w:rPr>
          <w:rFonts w:hint="eastAsia" w:ascii="仿宋_GB2312" w:hAnsi="仿宋_GB2312" w:eastAsia="仿宋_GB2312" w:cs="仿宋_GB2312"/>
          <w:b w:val="0"/>
          <w:bCs w:val="0"/>
          <w:sz w:val="32"/>
          <w:szCs w:val="32"/>
          <w:highlight w:val="none"/>
          <w:lang w:val="en-US" w:eastAsia="zh-CN"/>
        </w:rPr>
        <w:t>。</w:t>
      </w:r>
      <w:r>
        <w:rPr>
          <w:rFonts w:hint="eastAsia" w:ascii="仿宋_GB2312" w:hAnsi="仿宋_GB2312" w:eastAsia="仿宋_GB2312" w:cs="仿宋_GB2312"/>
          <w:b/>
          <w:bCs/>
          <w:sz w:val="32"/>
          <w:szCs w:val="32"/>
          <w:highlight w:val="none"/>
          <w:lang w:val="en-US" w:eastAsia="zh-CN"/>
        </w:rPr>
        <w:t>在国际论坛与学术会议方面，</w:t>
      </w:r>
      <w:r>
        <w:rPr>
          <w:rFonts w:hint="eastAsia" w:ascii="仿宋_GB2312" w:hAnsi="仿宋_GB2312" w:eastAsia="仿宋_GB2312" w:cs="仿宋_GB2312"/>
          <w:b w:val="0"/>
          <w:bCs w:val="0"/>
          <w:sz w:val="32"/>
          <w:szCs w:val="32"/>
          <w:highlight w:val="none"/>
          <w:lang w:val="en-US" w:eastAsia="zh-CN"/>
        </w:rPr>
        <w:t>累计完成30次，</w:t>
      </w:r>
      <w:r>
        <w:rPr>
          <w:rFonts w:hint="eastAsia" w:ascii="仿宋_GB2312" w:hAnsi="仿宋_GB2312" w:eastAsia="仿宋_GB2312" w:cs="仿宋_GB2312"/>
          <w:b w:val="0"/>
          <w:bCs w:val="0"/>
          <w:color w:val="auto"/>
          <w:sz w:val="32"/>
          <w:szCs w:val="32"/>
          <w:lang w:val="en-US" w:eastAsia="zh-CN"/>
        </w:rPr>
        <w:t>主题</w:t>
      </w:r>
      <w:r>
        <w:rPr>
          <w:rFonts w:hint="eastAsia" w:ascii="仿宋_GB2312" w:hAnsi="仿宋_GB2312" w:eastAsia="仿宋_GB2312" w:cs="仿宋_GB2312"/>
          <w:color w:val="auto"/>
          <w:sz w:val="32"/>
          <w:szCs w:val="32"/>
          <w:lang w:val="en-US" w:eastAsia="zh-CN"/>
        </w:rPr>
        <w:t>涵盖人工智能与数字经济探讨、MBA教育案例国际化交流、金融领域助力实体经济发展研讨等多个领域，形式丰富多样。</w:t>
      </w:r>
      <w:r>
        <w:rPr>
          <w:rFonts w:hint="eastAsia" w:ascii="仿宋_GB2312" w:hAnsi="仿宋_GB2312" w:eastAsia="仿宋_GB2312" w:cs="仿宋_GB2312"/>
          <w:b/>
          <w:bCs/>
          <w:color w:val="auto"/>
          <w:sz w:val="32"/>
          <w:szCs w:val="32"/>
          <w:lang w:val="en-US" w:eastAsia="zh-CN"/>
        </w:rPr>
        <w:t>在“三创”方面，</w:t>
      </w:r>
      <w:r>
        <w:rPr>
          <w:rFonts w:hint="eastAsia" w:ascii="仿宋_GB2312" w:hAnsi="仿宋_GB2312" w:eastAsia="仿宋_GB2312" w:cs="仿宋_GB2312"/>
          <w:b w:val="0"/>
          <w:bCs w:val="0"/>
          <w:sz w:val="32"/>
          <w:szCs w:val="32"/>
          <w:highlight w:val="none"/>
          <w:lang w:val="en-US" w:eastAsia="zh-CN"/>
        </w:rPr>
        <w:t>累计举办创业大赛9场，主题涉及创新创业、人工智能、可持续发展等前沿领域，为创业者搭建展示交流平台；累计</w:t>
      </w:r>
      <w:r>
        <w:rPr>
          <w:rFonts w:hint="eastAsia" w:ascii="仿宋_GB2312" w:hAnsi="仿宋_GB2312" w:eastAsia="仿宋_GB2312" w:cs="仿宋_GB2312"/>
          <w:b w:val="0"/>
          <w:bCs w:val="0"/>
          <w:sz w:val="32"/>
          <w:szCs w:val="32"/>
        </w:rPr>
        <w:t>开展各类交流活动</w:t>
      </w:r>
      <w:r>
        <w:rPr>
          <w:rFonts w:hint="eastAsia" w:ascii="仿宋_GB2312" w:hAnsi="仿宋_GB2312" w:eastAsia="仿宋_GB2312" w:cs="仿宋_GB2312"/>
          <w:b w:val="0"/>
          <w:bCs w:val="0"/>
          <w:sz w:val="32"/>
          <w:szCs w:val="32"/>
          <w:lang w:val="en-US" w:eastAsia="zh-CN"/>
        </w:rPr>
        <w:t>28次</w:t>
      </w:r>
      <w:r>
        <w:rPr>
          <w:rFonts w:hint="eastAsia" w:ascii="仿宋_GB2312" w:hAnsi="仿宋_GB2312" w:eastAsia="仿宋_GB2312" w:cs="仿宋_GB2312"/>
          <w:b w:val="0"/>
          <w:bCs w:val="0"/>
          <w:sz w:val="32"/>
          <w:szCs w:val="32"/>
        </w:rPr>
        <w:t>，涵盖</w:t>
      </w:r>
      <w:r>
        <w:rPr>
          <w:rFonts w:hint="eastAsia" w:ascii="仿宋_GB2312" w:hAnsi="仿宋_GB2312" w:eastAsia="仿宋_GB2312" w:cs="仿宋_GB2312"/>
          <w:b w:val="0"/>
          <w:bCs w:val="0"/>
          <w:sz w:val="32"/>
          <w:szCs w:val="32"/>
          <w:lang w:val="en-US" w:eastAsia="zh-CN"/>
        </w:rPr>
        <w:t>项目</w:t>
      </w:r>
      <w:r>
        <w:rPr>
          <w:rFonts w:hint="eastAsia" w:ascii="仿宋_GB2312" w:hAnsi="仿宋_GB2312" w:eastAsia="仿宋_GB2312" w:cs="仿宋_GB2312"/>
          <w:b w:val="0"/>
          <w:bCs w:val="0"/>
          <w:sz w:val="32"/>
          <w:szCs w:val="32"/>
        </w:rPr>
        <w:t>路演、行业研讨会、工作坊、创业沙龙和训练营等多种形式</w:t>
      </w:r>
      <w:r>
        <w:rPr>
          <w:rFonts w:hint="eastAsia" w:ascii="仿宋_GB2312" w:hAnsi="仿宋_GB2312" w:eastAsia="仿宋_GB2312" w:cs="仿宋_GB2312"/>
          <w:b w:val="0"/>
          <w:bCs w:val="0"/>
          <w:sz w:val="32"/>
          <w:szCs w:val="32"/>
          <w:lang w:eastAsia="zh-CN"/>
        </w:rPr>
        <w:t>；</w:t>
      </w:r>
      <w:r>
        <w:rPr>
          <w:rFonts w:hint="eastAsia" w:ascii="仿宋_GB2312" w:hAnsi="仿宋_GB2312" w:eastAsia="仿宋_GB2312" w:cs="仿宋_GB2312"/>
          <w:b w:val="0"/>
          <w:bCs w:val="0"/>
          <w:sz w:val="32"/>
          <w:szCs w:val="32"/>
          <w:lang w:val="en-US" w:eastAsia="zh-CN"/>
        </w:rPr>
        <w:t>累计48个项目团队加入清华x-lab（深圳），</w:t>
      </w:r>
      <w:r>
        <w:rPr>
          <w:rFonts w:hint="eastAsia" w:ascii="仿宋_GB2312" w:hAnsi="仿宋_GB2312" w:eastAsia="仿宋_GB2312" w:cs="仿宋_GB2312"/>
          <w:color w:val="auto"/>
          <w:sz w:val="32"/>
          <w:szCs w:val="32"/>
          <w:lang w:val="en-US" w:eastAsia="zh-CN"/>
        </w:rPr>
        <w:t>涵盖</w:t>
      </w:r>
      <w:r>
        <w:rPr>
          <w:rFonts w:hint="eastAsia" w:ascii="仿宋_GB2312" w:hAnsi="仿宋_GB2312" w:eastAsia="仿宋_GB2312" w:cs="仿宋_GB2312"/>
          <w:iCs/>
          <w:color w:val="auto"/>
          <w:sz w:val="32"/>
          <w:szCs w:val="32"/>
        </w:rPr>
        <w:t>人工智能、大数据、新能源、生物科技</w:t>
      </w:r>
      <w:r>
        <w:rPr>
          <w:rFonts w:hint="eastAsia" w:ascii="仿宋_GB2312" w:hAnsi="仿宋_GB2312" w:eastAsia="仿宋_GB2312" w:cs="仿宋_GB2312"/>
          <w:color w:val="auto"/>
          <w:sz w:val="32"/>
          <w:szCs w:val="32"/>
          <w:lang w:val="en-US" w:eastAsia="zh-CN"/>
        </w:rPr>
        <w:t>等前沿领域</w:t>
      </w:r>
      <w:r>
        <w:rPr>
          <w:rFonts w:hint="eastAsia" w:ascii="仿宋_GB2312" w:hAnsi="仿宋_GB2312" w:eastAsia="仿宋_GB2312" w:cs="仿宋_GB2312"/>
          <w:b w:val="0"/>
          <w:bCs w:val="0"/>
          <w:sz w:val="32"/>
          <w:szCs w:val="32"/>
          <w:highlight w:val="none"/>
          <w:lang w:val="en-US" w:eastAsia="zh-CN"/>
        </w:rPr>
        <w:t>，其中3家已完成融资，融资总额约1亿。</w:t>
      </w:r>
      <w:r>
        <w:rPr>
          <w:rFonts w:hint="eastAsia" w:ascii="仿宋_GB2312" w:hAnsi="仿宋_GB2312" w:eastAsia="仿宋_GB2312" w:cs="仿宋_GB2312"/>
          <w:b/>
          <w:bCs/>
          <w:sz w:val="32"/>
          <w:szCs w:val="32"/>
        </w:rPr>
        <w:t>在科研及成果转化方面，</w:t>
      </w:r>
      <w:r>
        <w:rPr>
          <w:rFonts w:hint="eastAsia" w:ascii="仿宋_GB2312" w:hAnsi="仿宋_GB2312" w:eastAsia="仿宋_GB2312" w:cs="仿宋_GB2312"/>
          <w:sz w:val="32"/>
          <w:szCs w:val="32"/>
          <w:highlight w:val="none"/>
          <w:lang w:val="en-US" w:eastAsia="zh-CN"/>
        </w:rPr>
        <w:t>2022年成立首</w:t>
      </w:r>
      <w:r>
        <w:rPr>
          <w:rFonts w:hint="eastAsia" w:ascii="仿宋_GB2312" w:hAnsi="仿宋_GB2312" w:eastAsia="仿宋_GB2312" w:cs="仿宋_GB2312"/>
          <w:sz w:val="32"/>
          <w:szCs w:val="32"/>
          <w:highlight w:val="none"/>
        </w:rPr>
        <w:t>所研究中心--大湾区数字经济研究中心</w:t>
      </w:r>
      <w:r>
        <w:rPr>
          <w:rFonts w:hint="eastAsia" w:ascii="仿宋_GB2312" w:hAnsi="仿宋_GB2312" w:eastAsia="仿宋_GB2312" w:cs="仿宋_GB2312"/>
          <w:sz w:val="32"/>
          <w:szCs w:val="32"/>
          <w:highlight w:val="none"/>
          <w:lang w:val="en-US" w:eastAsia="zh-CN"/>
        </w:rPr>
        <w:t>。该中心</w:t>
      </w:r>
      <w:r>
        <w:rPr>
          <w:rFonts w:hint="eastAsia" w:ascii="仿宋_GB2312" w:hAnsi="仿宋_GB2312" w:eastAsia="仿宋_GB2312" w:cs="仿宋_GB2312"/>
          <w:sz w:val="32"/>
          <w:szCs w:val="32"/>
        </w:rPr>
        <w:t>在学术研究、科研项目、产学研合作及学术交流方面取得了</w:t>
      </w:r>
      <w:r>
        <w:rPr>
          <w:rFonts w:hint="eastAsia" w:ascii="仿宋_GB2312" w:hAnsi="仿宋_GB2312" w:eastAsia="仿宋_GB2312" w:cs="仿宋_GB2312"/>
          <w:sz w:val="32"/>
          <w:szCs w:val="32"/>
          <w:lang w:val="en-US" w:eastAsia="zh-CN"/>
        </w:rPr>
        <w:t>一定成效</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highlight w:val="none"/>
          <w:lang w:eastAsia="zh-CN"/>
        </w:rPr>
        <w:t>承担了多项国家级和地方级科研项目，</w:t>
      </w:r>
      <w:r>
        <w:rPr>
          <w:rFonts w:hint="eastAsia" w:ascii="仿宋_GB2312" w:hAnsi="仿宋_GB2312" w:eastAsia="仿宋_GB2312" w:cs="仿宋_GB2312"/>
          <w:sz w:val="32"/>
          <w:szCs w:val="32"/>
        </w:rPr>
        <w:t>获批国家自然科学基金项目共3个，专利申请1项</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b w:val="0"/>
          <w:bCs w:val="0"/>
          <w:sz w:val="32"/>
          <w:szCs w:val="32"/>
          <w:lang w:eastAsia="zh-CN"/>
        </w:rPr>
        <w:t>论文</w:t>
      </w:r>
      <w:r>
        <w:rPr>
          <w:rFonts w:hint="eastAsia" w:ascii="仿宋_GB2312" w:hAnsi="仿宋_GB2312" w:eastAsia="仿宋_GB2312" w:cs="仿宋_GB2312"/>
          <w:b w:val="0"/>
          <w:bCs w:val="0"/>
          <w:sz w:val="32"/>
          <w:szCs w:val="32"/>
        </w:rPr>
        <w:t>水平远超本部及国际一线商学院</w:t>
      </w:r>
      <w:r>
        <w:rPr>
          <w:rFonts w:hint="eastAsia" w:ascii="仿宋_GB2312" w:hAnsi="仿宋_GB2312" w:eastAsia="仿宋_GB2312" w:cs="仿宋_GB2312"/>
          <w:b w:val="0"/>
          <w:bCs w:val="0"/>
          <w:sz w:val="32"/>
          <w:szCs w:val="32"/>
          <w:lang w:eastAsia="zh-CN"/>
        </w:rPr>
        <w:t>，累计</w:t>
      </w:r>
      <w:r>
        <w:rPr>
          <w:rFonts w:hint="eastAsia" w:ascii="仿宋_GB2312" w:hAnsi="仿宋_GB2312" w:eastAsia="仿宋_GB2312" w:cs="仿宋_GB2312"/>
          <w:sz w:val="32"/>
          <w:szCs w:val="32"/>
        </w:rPr>
        <w:t>发表</w:t>
      </w:r>
      <w:r>
        <w:rPr>
          <w:rFonts w:hint="eastAsia" w:ascii="仿宋_GB2312" w:hAnsi="仿宋_GB2312" w:eastAsia="仿宋_GB2312" w:cs="仿宋_GB2312"/>
          <w:sz w:val="32"/>
          <w:szCs w:val="32"/>
          <w:lang w:eastAsia="zh-CN"/>
        </w:rPr>
        <w:t>及录用</w:t>
      </w:r>
      <w:r>
        <w:rPr>
          <w:rFonts w:hint="eastAsia" w:ascii="仿宋_GB2312" w:hAnsi="仿宋_GB2312" w:eastAsia="仿宋_GB2312" w:cs="仿宋_GB2312"/>
          <w:sz w:val="32"/>
          <w:szCs w:val="32"/>
        </w:rPr>
        <w:t>期刊论文数</w:t>
      </w:r>
      <w:r>
        <w:rPr>
          <w:rFonts w:hint="eastAsia" w:ascii="仿宋_GB2312" w:hAnsi="仿宋_GB2312" w:eastAsia="仿宋_GB2312" w:cs="仿宋_GB2312"/>
          <w:sz w:val="32"/>
          <w:szCs w:val="32"/>
          <w:lang w:val="en-US" w:eastAsia="zh-CN"/>
        </w:rPr>
        <w:t>35+</w:t>
      </w:r>
      <w:r>
        <w:rPr>
          <w:rFonts w:hint="eastAsia" w:ascii="仿宋_GB2312" w:hAnsi="仿宋_GB2312" w:eastAsia="仿宋_GB2312" w:cs="仿宋_GB2312"/>
          <w:sz w:val="32"/>
          <w:szCs w:val="32"/>
        </w:rPr>
        <w:t>篇，会议论文数31+篇，工作论文数73+篇</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其中UTD24合计20+篇，FT50合计22+篇，A+类合计22+篇，A类合计5+篇</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b w:val="0"/>
          <w:bCs w:val="0"/>
          <w:sz w:val="32"/>
          <w:szCs w:val="32"/>
          <w:highlight w:val="none"/>
          <w:lang w:val="en-US" w:eastAsia="zh-CN"/>
        </w:rPr>
        <w:t>2025年，规划成立金融科研中心，将与清华大学深圳国际研究生院数据与信息研究院等组建跨学科团队、搭建科研平台，并主动对接区金融服务和风险防控中心等部门，参与政策研讨与制定工作。</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楷体_GB2312" w:hAnsi="楷体_GB2312" w:eastAsia="楷体_GB2312" w:cs="楷体_GB2312"/>
          <w:sz w:val="32"/>
          <w:szCs w:val="32"/>
        </w:rPr>
      </w:pPr>
      <w:r>
        <w:rPr>
          <w:rFonts w:hint="eastAsia" w:ascii="楷体_GB2312" w:hAnsi="楷体_GB2312" w:eastAsia="楷体_GB2312" w:cs="楷体_GB2312"/>
          <w:sz w:val="32"/>
          <w:szCs w:val="32"/>
        </w:rPr>
        <w:t>（二）议定事项完成情况</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根据协议，原则上每三年开展一次周期性综合评价工作。考虑研究院发展的专业性，我局聘请深圳国家高技术产业创新中心对研究院2021年至2024年的工作开展了周期性考核。</w:t>
      </w:r>
      <w:r>
        <w:rPr>
          <w:rFonts w:hint="eastAsia" w:ascii="仿宋_GB2312" w:hAnsi="仿宋_GB2312" w:eastAsia="仿宋_GB2312" w:cs="仿宋_GB2312"/>
          <w:sz w:val="32"/>
          <w:szCs w:val="32"/>
        </w:rPr>
        <w:t>经审核，研究院按协议完成议定事项</w:t>
      </w:r>
      <w:r>
        <w:rPr>
          <w:rFonts w:hint="eastAsia" w:ascii="仿宋_GB2312" w:hAnsi="仿宋_GB2312" w:eastAsia="仿宋_GB2312" w:cs="仿宋_GB2312"/>
          <w:sz w:val="32"/>
          <w:szCs w:val="32"/>
          <w:lang w:eastAsia="zh-CN"/>
        </w:rPr>
        <w:t>情况较好，仅有研究中心建设事项需加快进度</w:t>
      </w:r>
      <w:r>
        <w:rPr>
          <w:rFonts w:hint="eastAsia" w:ascii="仿宋_GB2312" w:hAnsi="仿宋_GB2312" w:eastAsia="仿宋_GB2312" w:cs="仿宋_GB2312"/>
          <w:sz w:val="32"/>
          <w:szCs w:val="32"/>
        </w:rPr>
        <w:t>（详见表1）</w:t>
      </w:r>
      <w:r>
        <w:rPr>
          <w:rFonts w:hint="eastAsia" w:ascii="仿宋_GB2312" w:hAnsi="仿宋_GB2312" w:eastAsia="仿宋_GB2312" w:cs="仿宋_GB2312"/>
          <w:sz w:val="32"/>
          <w:szCs w:val="32"/>
          <w:lang w:eastAsia="zh-CN"/>
        </w:rPr>
        <w:t>。</w:t>
      </w:r>
    </w:p>
    <w:p>
      <w:pPr>
        <w:spacing w:line="579" w:lineRule="exact"/>
        <w:jc w:val="center"/>
        <w:rPr>
          <w:rFonts w:ascii="宋体" w:hAnsi="宋体" w:eastAsia="宋体" w:cs="宋体"/>
          <w:b/>
          <w:bCs/>
          <w:sz w:val="24"/>
        </w:rPr>
      </w:pPr>
      <w:r>
        <w:rPr>
          <w:rFonts w:hint="eastAsia" w:ascii="宋体" w:hAnsi="宋体" w:eastAsia="宋体" w:cs="宋体"/>
          <w:b/>
          <w:bCs/>
          <w:sz w:val="24"/>
        </w:rPr>
        <w:t>表1：清华大学经济管理深圳</w:t>
      </w:r>
      <w:r>
        <w:rPr>
          <w:rFonts w:hint="eastAsia" w:ascii="宋体" w:hAnsi="宋体" w:eastAsia="宋体" w:cs="宋体"/>
          <w:b/>
          <w:bCs/>
          <w:sz w:val="24"/>
          <w:lang w:val="en-US" w:eastAsia="zh-CN"/>
        </w:rPr>
        <w:t>研究院合作协议考核指标2021-2024年完成情况</w:t>
      </w:r>
    </w:p>
    <w:tbl>
      <w:tblPr>
        <w:tblStyle w:val="6"/>
        <w:tblW w:w="95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986"/>
        <w:gridCol w:w="1678"/>
        <w:gridCol w:w="1184"/>
        <w:gridCol w:w="1051"/>
        <w:gridCol w:w="1129"/>
        <w:gridCol w:w="881"/>
        <w:gridCol w:w="1257"/>
        <w:gridCol w:w="13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Header/>
          <w:jc w:val="center"/>
        </w:trPr>
        <w:tc>
          <w:tcPr>
            <w:tcW w:w="986" w:type="dxa"/>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line="240" w:lineRule="atLeast"/>
              <w:jc w:val="center"/>
              <w:textAlignment w:val="auto"/>
              <w:rPr>
                <w:rFonts w:hint="eastAsia" w:ascii="仿宋_GB2312" w:hAnsi="仿宋_GB2312" w:eastAsia="仿宋_GB2312" w:cs="仿宋_GB2312"/>
                <w:b/>
                <w:bCs/>
                <w:sz w:val="20"/>
                <w:szCs w:val="20"/>
                <w:vertAlign w:val="baseline"/>
                <w:lang w:val="en-US" w:eastAsia="zh-CN"/>
              </w:rPr>
            </w:pPr>
            <w:r>
              <w:rPr>
                <w:rFonts w:hint="eastAsia" w:ascii="仿宋_GB2312" w:hAnsi="仿宋_GB2312" w:eastAsia="仿宋_GB2312" w:cs="仿宋_GB2312"/>
                <w:b/>
                <w:bCs/>
                <w:sz w:val="20"/>
                <w:szCs w:val="20"/>
                <w:vertAlign w:val="baseline"/>
                <w:lang w:val="en-US" w:eastAsia="zh-CN"/>
              </w:rPr>
              <w:t>考核指标</w:t>
            </w:r>
          </w:p>
        </w:tc>
        <w:tc>
          <w:tcPr>
            <w:tcW w:w="1678" w:type="dxa"/>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line="240" w:lineRule="atLeast"/>
              <w:jc w:val="center"/>
              <w:textAlignment w:val="auto"/>
              <w:rPr>
                <w:rFonts w:hint="eastAsia" w:ascii="仿宋_GB2312" w:hAnsi="仿宋_GB2312" w:eastAsia="仿宋_GB2312" w:cs="仿宋_GB2312"/>
                <w:b/>
                <w:bCs/>
                <w:sz w:val="20"/>
                <w:szCs w:val="20"/>
                <w:vertAlign w:val="baseline"/>
                <w:lang w:val="en-US" w:eastAsia="zh-CN"/>
              </w:rPr>
            </w:pPr>
            <w:r>
              <w:rPr>
                <w:rFonts w:hint="eastAsia" w:ascii="仿宋_GB2312" w:hAnsi="仿宋_GB2312" w:eastAsia="仿宋_GB2312" w:cs="仿宋_GB2312"/>
                <w:b/>
                <w:bCs/>
                <w:sz w:val="20"/>
                <w:szCs w:val="20"/>
                <w:vertAlign w:val="baseline"/>
                <w:lang w:val="en-US" w:eastAsia="zh-CN"/>
              </w:rPr>
              <w:t>协议要求</w:t>
            </w:r>
          </w:p>
        </w:tc>
        <w:tc>
          <w:tcPr>
            <w:tcW w:w="1184" w:type="dxa"/>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line="240" w:lineRule="atLeast"/>
              <w:jc w:val="center"/>
              <w:textAlignment w:val="auto"/>
              <w:rPr>
                <w:rFonts w:hint="eastAsia" w:ascii="仿宋_GB2312" w:hAnsi="仿宋_GB2312" w:eastAsia="仿宋_GB2312" w:cs="仿宋_GB2312"/>
                <w:b/>
                <w:bCs/>
                <w:sz w:val="20"/>
                <w:szCs w:val="20"/>
                <w:vertAlign w:val="baseline"/>
                <w:lang w:val="en-US" w:eastAsia="zh-CN"/>
              </w:rPr>
            </w:pPr>
            <w:r>
              <w:rPr>
                <w:rFonts w:hint="eastAsia" w:ascii="仿宋_GB2312" w:hAnsi="仿宋_GB2312" w:eastAsia="仿宋_GB2312" w:cs="仿宋_GB2312"/>
                <w:b/>
                <w:bCs/>
                <w:sz w:val="20"/>
                <w:szCs w:val="20"/>
                <w:vertAlign w:val="baseline"/>
                <w:lang w:val="en-US" w:eastAsia="zh-CN"/>
              </w:rPr>
              <w:t>2021年</w:t>
            </w:r>
          </w:p>
        </w:tc>
        <w:tc>
          <w:tcPr>
            <w:tcW w:w="1051" w:type="dxa"/>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line="240" w:lineRule="atLeast"/>
              <w:jc w:val="center"/>
              <w:textAlignment w:val="auto"/>
              <w:rPr>
                <w:rFonts w:hint="eastAsia" w:ascii="仿宋_GB2312" w:hAnsi="仿宋_GB2312" w:eastAsia="仿宋_GB2312" w:cs="仿宋_GB2312"/>
                <w:b/>
                <w:bCs/>
                <w:sz w:val="20"/>
                <w:szCs w:val="20"/>
                <w:vertAlign w:val="baseline"/>
                <w:lang w:val="en-US" w:eastAsia="zh-CN"/>
              </w:rPr>
            </w:pPr>
            <w:r>
              <w:rPr>
                <w:rFonts w:hint="eastAsia" w:ascii="仿宋_GB2312" w:hAnsi="仿宋_GB2312" w:eastAsia="仿宋_GB2312" w:cs="仿宋_GB2312"/>
                <w:b/>
                <w:bCs/>
                <w:sz w:val="20"/>
                <w:szCs w:val="20"/>
                <w:vertAlign w:val="baseline"/>
                <w:lang w:val="en-US" w:eastAsia="zh-CN"/>
              </w:rPr>
              <w:t>2022年</w:t>
            </w:r>
          </w:p>
        </w:tc>
        <w:tc>
          <w:tcPr>
            <w:tcW w:w="1129" w:type="dxa"/>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line="240" w:lineRule="atLeast"/>
              <w:jc w:val="center"/>
              <w:textAlignment w:val="auto"/>
              <w:rPr>
                <w:rFonts w:hint="eastAsia" w:ascii="仿宋_GB2312" w:hAnsi="仿宋_GB2312" w:eastAsia="仿宋_GB2312" w:cs="仿宋_GB2312"/>
                <w:b/>
                <w:bCs/>
                <w:sz w:val="20"/>
                <w:szCs w:val="20"/>
                <w:vertAlign w:val="baseline"/>
                <w:lang w:val="en-US" w:eastAsia="zh-CN"/>
              </w:rPr>
            </w:pPr>
            <w:r>
              <w:rPr>
                <w:rFonts w:hint="eastAsia" w:ascii="仿宋_GB2312" w:hAnsi="仿宋_GB2312" w:eastAsia="仿宋_GB2312" w:cs="仿宋_GB2312"/>
                <w:b/>
                <w:bCs/>
                <w:sz w:val="20"/>
                <w:szCs w:val="20"/>
                <w:vertAlign w:val="baseline"/>
                <w:lang w:val="en-US" w:eastAsia="zh-CN"/>
              </w:rPr>
              <w:t>2023年</w:t>
            </w:r>
          </w:p>
        </w:tc>
        <w:tc>
          <w:tcPr>
            <w:tcW w:w="881" w:type="dxa"/>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line="240" w:lineRule="atLeast"/>
              <w:jc w:val="center"/>
              <w:textAlignment w:val="auto"/>
              <w:rPr>
                <w:rFonts w:hint="eastAsia" w:ascii="仿宋_GB2312" w:hAnsi="仿宋_GB2312" w:eastAsia="仿宋_GB2312" w:cs="仿宋_GB2312"/>
                <w:b/>
                <w:bCs/>
                <w:sz w:val="20"/>
                <w:szCs w:val="20"/>
                <w:vertAlign w:val="baseline"/>
                <w:lang w:val="en-US" w:eastAsia="zh-CN"/>
              </w:rPr>
            </w:pPr>
            <w:r>
              <w:rPr>
                <w:rFonts w:hint="eastAsia" w:ascii="仿宋_GB2312" w:hAnsi="仿宋_GB2312" w:eastAsia="仿宋_GB2312" w:cs="仿宋_GB2312"/>
                <w:b/>
                <w:bCs/>
                <w:sz w:val="20"/>
                <w:szCs w:val="20"/>
                <w:vertAlign w:val="baseline"/>
                <w:lang w:val="en-US" w:eastAsia="zh-CN"/>
              </w:rPr>
              <w:t>2024年</w:t>
            </w:r>
          </w:p>
        </w:tc>
        <w:tc>
          <w:tcPr>
            <w:tcW w:w="125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line="240" w:lineRule="atLeast"/>
              <w:jc w:val="center"/>
              <w:textAlignment w:val="auto"/>
              <w:rPr>
                <w:rFonts w:hint="default" w:ascii="仿宋_GB2312" w:hAnsi="仿宋_GB2312" w:eastAsia="仿宋_GB2312" w:cs="仿宋_GB2312"/>
                <w:b/>
                <w:bCs/>
                <w:sz w:val="20"/>
                <w:szCs w:val="20"/>
                <w:vertAlign w:val="baseline"/>
                <w:lang w:val="en-US" w:eastAsia="zh-CN"/>
              </w:rPr>
            </w:pPr>
            <w:r>
              <w:rPr>
                <w:rFonts w:hint="eastAsia" w:ascii="仿宋_GB2312" w:hAnsi="仿宋_GB2312" w:eastAsia="仿宋_GB2312" w:cs="仿宋_GB2312"/>
                <w:b/>
                <w:bCs/>
                <w:sz w:val="20"/>
                <w:szCs w:val="20"/>
                <w:vertAlign w:val="baseline"/>
                <w:lang w:val="en-US" w:eastAsia="zh-CN"/>
              </w:rPr>
              <w:t>2021-2024年</w:t>
            </w:r>
          </w:p>
          <w:p>
            <w:pPr>
              <w:keepNext w:val="0"/>
              <w:keepLines w:val="0"/>
              <w:pageBreakBefore w:val="0"/>
              <w:widowControl w:val="0"/>
              <w:numPr>
                <w:ilvl w:val="0"/>
                <w:numId w:val="0"/>
              </w:numPr>
              <w:kinsoku/>
              <w:wordWrap/>
              <w:overflowPunct/>
              <w:topLinePunct w:val="0"/>
              <w:autoSpaceDE/>
              <w:autoSpaceDN/>
              <w:bidi w:val="0"/>
              <w:adjustRightInd/>
              <w:snapToGrid w:val="0"/>
              <w:spacing w:line="240" w:lineRule="atLeast"/>
              <w:jc w:val="center"/>
              <w:textAlignment w:val="auto"/>
              <w:rPr>
                <w:rFonts w:hint="eastAsia" w:ascii="仿宋_GB2312" w:hAnsi="仿宋_GB2312" w:eastAsia="仿宋_GB2312" w:cs="仿宋_GB2312"/>
                <w:b/>
                <w:bCs/>
                <w:sz w:val="20"/>
                <w:szCs w:val="20"/>
                <w:vertAlign w:val="baseline"/>
                <w:lang w:val="en-US" w:eastAsia="zh-CN"/>
              </w:rPr>
            </w:pPr>
            <w:r>
              <w:rPr>
                <w:rFonts w:hint="eastAsia" w:ascii="仿宋_GB2312" w:hAnsi="仿宋_GB2312" w:eastAsia="仿宋_GB2312" w:cs="仿宋_GB2312"/>
                <w:b/>
                <w:bCs/>
                <w:sz w:val="20"/>
                <w:szCs w:val="20"/>
                <w:vertAlign w:val="baseline"/>
                <w:lang w:val="en-US" w:eastAsia="zh-CN"/>
              </w:rPr>
              <w:t>完成情况</w:t>
            </w:r>
          </w:p>
        </w:tc>
        <w:tc>
          <w:tcPr>
            <w:tcW w:w="137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line="240" w:lineRule="atLeast"/>
              <w:jc w:val="center"/>
              <w:textAlignment w:val="auto"/>
              <w:rPr>
                <w:rFonts w:hint="eastAsia" w:ascii="仿宋_GB2312" w:hAnsi="仿宋_GB2312" w:eastAsia="仿宋_GB2312" w:cs="仿宋_GB2312"/>
                <w:b/>
                <w:bCs/>
                <w:sz w:val="20"/>
                <w:szCs w:val="20"/>
                <w:vertAlign w:val="baseline"/>
                <w:lang w:val="en-US" w:eastAsia="zh-CN"/>
              </w:rPr>
            </w:pPr>
            <w:r>
              <w:rPr>
                <w:rFonts w:hint="eastAsia" w:ascii="仿宋_GB2312" w:hAnsi="仿宋_GB2312" w:eastAsia="仿宋_GB2312" w:cs="仿宋_GB2312"/>
                <w:b/>
                <w:bCs/>
                <w:sz w:val="20"/>
                <w:szCs w:val="20"/>
                <w:vertAlign w:val="baseline"/>
                <w:lang w:val="en-US" w:eastAsia="zh-CN"/>
              </w:rPr>
              <w:t>五年目标完成度及结论意见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05" w:hRule="atLeast"/>
          <w:jc w:val="center"/>
        </w:trPr>
        <w:tc>
          <w:tcPr>
            <w:tcW w:w="986"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Fonts w:hint="eastAsia" w:ascii="仿宋_GB2312" w:hAnsi="仿宋_GB2312" w:eastAsia="仿宋_GB2312" w:cs="仿宋_GB2312"/>
                <w:b/>
                <w:bCs/>
                <w:i w:val="0"/>
                <w:iCs w:val="0"/>
                <w:color w:val="000000"/>
                <w:kern w:val="0"/>
                <w:sz w:val="20"/>
                <w:szCs w:val="20"/>
                <w:u w:val="none"/>
                <w:lang w:val="en-US" w:eastAsia="zh-CN" w:bidi="ar"/>
              </w:rPr>
            </w:pPr>
            <w:r>
              <w:rPr>
                <w:rFonts w:hint="eastAsia" w:ascii="仿宋_GB2312" w:hAnsi="仿宋_GB2312" w:eastAsia="仿宋_GB2312" w:cs="仿宋_GB2312"/>
                <w:b/>
                <w:bCs/>
                <w:i w:val="0"/>
                <w:iCs w:val="0"/>
                <w:color w:val="000000"/>
                <w:kern w:val="0"/>
                <w:sz w:val="20"/>
                <w:szCs w:val="20"/>
                <w:u w:val="none"/>
                <w:lang w:val="en-US" w:eastAsia="zh-CN" w:bidi="ar"/>
              </w:rPr>
              <w:t>人才培养</w:t>
            </w:r>
          </w:p>
        </w:tc>
        <w:tc>
          <w:tcPr>
            <w:tcW w:w="1678"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Fonts w:hint="eastAsia" w:ascii="仿宋_GB2312" w:hAnsi="仿宋_GB2312" w:eastAsia="仿宋_GB2312" w:cs="仿宋_GB2312"/>
                <w:i w:val="0"/>
                <w:iCs w:val="0"/>
                <w:color w:val="000000"/>
                <w:kern w:val="0"/>
                <w:sz w:val="20"/>
                <w:szCs w:val="20"/>
                <w:u w:val="none"/>
                <w:lang w:val="en-US" w:eastAsia="zh-CN" w:bidi="ar"/>
              </w:rPr>
            </w:pPr>
            <w:r>
              <w:rPr>
                <w:rFonts w:hint="eastAsia" w:ascii="仿宋_GB2312" w:hAnsi="仿宋_GB2312" w:eastAsia="仿宋_GB2312" w:cs="仿宋_GB2312"/>
                <w:i w:val="0"/>
                <w:iCs w:val="0"/>
                <w:color w:val="000000"/>
                <w:kern w:val="0"/>
                <w:sz w:val="20"/>
                <w:szCs w:val="20"/>
                <w:highlight w:val="none"/>
                <w:u w:val="none"/>
                <w:lang w:val="en-US" w:eastAsia="zh-CN" w:bidi="ar"/>
              </w:rPr>
              <w:t>五年总计招生规模1000人次以上</w:t>
            </w:r>
          </w:p>
        </w:tc>
        <w:tc>
          <w:tcPr>
            <w:tcW w:w="1184"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Fonts w:hint="eastAsia" w:ascii="仿宋_GB2312" w:hAnsi="仿宋_GB2312" w:eastAsia="仿宋_GB2312" w:cs="仿宋_GB2312"/>
                <w:i w:val="0"/>
                <w:iCs w:val="0"/>
                <w:color w:val="000000"/>
                <w:kern w:val="0"/>
                <w:sz w:val="20"/>
                <w:szCs w:val="20"/>
                <w:u w:val="none"/>
                <w:lang w:val="en-US" w:eastAsia="zh-CN" w:bidi="ar"/>
              </w:rPr>
            </w:pPr>
            <w:r>
              <w:rPr>
                <w:rFonts w:hint="eastAsia" w:ascii="仿宋_GB2312" w:hAnsi="仿宋_GB2312" w:eastAsia="仿宋_GB2312" w:cs="仿宋_GB2312"/>
                <w:i w:val="0"/>
                <w:iCs w:val="0"/>
                <w:color w:val="000000"/>
                <w:kern w:val="0"/>
                <w:sz w:val="20"/>
                <w:szCs w:val="20"/>
                <w:u w:val="none"/>
                <w:lang w:val="en-US" w:eastAsia="zh-CN" w:bidi="ar"/>
              </w:rPr>
              <w:t>205人</w:t>
            </w:r>
          </w:p>
        </w:tc>
        <w:tc>
          <w:tcPr>
            <w:tcW w:w="1051"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Fonts w:hint="eastAsia" w:ascii="仿宋_GB2312" w:hAnsi="仿宋_GB2312" w:eastAsia="仿宋_GB2312" w:cs="仿宋_GB2312"/>
                <w:i w:val="0"/>
                <w:iCs w:val="0"/>
                <w:color w:val="000000"/>
                <w:kern w:val="0"/>
                <w:sz w:val="20"/>
                <w:szCs w:val="20"/>
                <w:u w:val="none"/>
                <w:lang w:val="en-US" w:eastAsia="zh-CN" w:bidi="ar"/>
              </w:rPr>
            </w:pPr>
            <w:r>
              <w:rPr>
                <w:rFonts w:hint="eastAsia" w:ascii="仿宋_GB2312" w:hAnsi="仿宋_GB2312" w:eastAsia="仿宋_GB2312" w:cs="仿宋_GB2312"/>
                <w:i w:val="0"/>
                <w:iCs w:val="0"/>
                <w:color w:val="000000"/>
                <w:kern w:val="0"/>
                <w:sz w:val="20"/>
                <w:szCs w:val="20"/>
                <w:u w:val="none"/>
                <w:lang w:val="en-US" w:eastAsia="zh-CN" w:bidi="ar"/>
              </w:rPr>
              <w:t>241人</w:t>
            </w:r>
          </w:p>
        </w:tc>
        <w:tc>
          <w:tcPr>
            <w:tcW w:w="1129"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Style w:val="9"/>
                <w:rFonts w:hint="eastAsia" w:ascii="仿宋_GB2312" w:hAnsi="仿宋_GB2312" w:eastAsia="仿宋_GB2312" w:cs="仿宋_GB2312"/>
                <w:sz w:val="20"/>
                <w:szCs w:val="20"/>
                <w:lang w:val="en-US" w:eastAsia="zh-CN" w:bidi="ar"/>
              </w:rPr>
            </w:pPr>
            <w:r>
              <w:rPr>
                <w:rStyle w:val="9"/>
                <w:rFonts w:hint="eastAsia" w:ascii="仿宋_GB2312" w:hAnsi="仿宋_GB2312" w:eastAsia="仿宋_GB2312" w:cs="仿宋_GB2312"/>
                <w:sz w:val="20"/>
                <w:szCs w:val="20"/>
                <w:lang w:val="en-US" w:eastAsia="zh-CN" w:bidi="ar"/>
              </w:rPr>
              <w:t>258人</w:t>
            </w:r>
          </w:p>
        </w:tc>
        <w:tc>
          <w:tcPr>
            <w:tcW w:w="881" w:type="dxa"/>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line="240" w:lineRule="atLeast"/>
              <w:ind w:left="0" w:leftChars="0" w:firstLine="0" w:firstLineChars="0"/>
              <w:jc w:val="center"/>
              <w:textAlignment w:val="auto"/>
              <w:rPr>
                <w:rFonts w:hint="eastAsia"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245人</w:t>
            </w:r>
          </w:p>
        </w:tc>
        <w:tc>
          <w:tcPr>
            <w:tcW w:w="125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line="240" w:lineRule="atLeast"/>
              <w:ind w:left="0" w:leftChars="0" w:firstLine="0" w:firstLineChars="0"/>
              <w:jc w:val="center"/>
              <w:textAlignment w:val="auto"/>
              <w:rPr>
                <w:rFonts w:hint="default"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949人</w:t>
            </w:r>
          </w:p>
        </w:tc>
        <w:tc>
          <w:tcPr>
            <w:tcW w:w="137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line="240" w:lineRule="atLeast"/>
              <w:ind w:left="0" w:leftChars="0" w:firstLine="0" w:firstLineChars="0"/>
              <w:jc w:val="center"/>
              <w:textAlignment w:val="auto"/>
              <w:rPr>
                <w:rFonts w:hint="eastAsia" w:ascii="仿宋_GB2312" w:hAnsi="仿宋_GB2312" w:eastAsia="仿宋_GB2312" w:cs="仿宋_GB2312"/>
                <w:b w:val="0"/>
                <w:bCs w:val="0"/>
                <w:sz w:val="20"/>
                <w:szCs w:val="20"/>
                <w:vertAlign w:val="baseline"/>
                <w:lang w:val="en-US" w:eastAsia="zh-CN"/>
              </w:rPr>
            </w:pPr>
            <w:r>
              <w:rPr>
                <w:rFonts w:hint="eastAsia" w:ascii="仿宋_GB2312" w:hAnsi="仿宋_GB2312" w:eastAsia="仿宋_GB2312" w:cs="仿宋_GB2312"/>
                <w:b w:val="0"/>
                <w:bCs w:val="0"/>
                <w:sz w:val="20"/>
                <w:szCs w:val="20"/>
                <w:vertAlign w:val="baseline"/>
                <w:lang w:val="en-US" w:eastAsia="zh-CN"/>
              </w:rPr>
              <w:t>符合预期</w:t>
            </w:r>
          </w:p>
          <w:p>
            <w:pPr>
              <w:keepNext w:val="0"/>
              <w:keepLines w:val="0"/>
              <w:pageBreakBefore w:val="0"/>
              <w:widowControl w:val="0"/>
              <w:numPr>
                <w:ilvl w:val="0"/>
                <w:numId w:val="0"/>
              </w:numPr>
              <w:kinsoku/>
              <w:wordWrap/>
              <w:overflowPunct/>
              <w:topLinePunct w:val="0"/>
              <w:autoSpaceDE/>
              <w:autoSpaceDN/>
              <w:bidi w:val="0"/>
              <w:adjustRightInd/>
              <w:snapToGrid w:val="0"/>
              <w:spacing w:line="240" w:lineRule="atLeast"/>
              <w:ind w:left="0" w:leftChars="0" w:firstLine="0" w:firstLineChars="0"/>
              <w:jc w:val="center"/>
              <w:textAlignment w:val="auto"/>
              <w:rPr>
                <w:rFonts w:hint="eastAsia" w:ascii="仿宋_GB2312" w:hAnsi="仿宋_GB2312" w:eastAsia="仿宋_GB2312" w:cs="仿宋_GB2312"/>
                <w:b w:val="0"/>
                <w:bCs w:val="0"/>
                <w:sz w:val="20"/>
                <w:szCs w:val="20"/>
                <w:vertAlign w:val="baseline"/>
                <w:lang w:val="en-US" w:eastAsia="zh-CN"/>
              </w:rPr>
            </w:pPr>
            <w:r>
              <w:rPr>
                <w:rFonts w:hint="eastAsia" w:ascii="仿宋_GB2312" w:hAnsi="仿宋_GB2312" w:eastAsia="仿宋_GB2312" w:cs="仿宋_GB2312"/>
                <w:b w:val="0"/>
                <w:bCs w:val="0"/>
                <w:sz w:val="20"/>
                <w:szCs w:val="20"/>
                <w:vertAlign w:val="baseline"/>
                <w:lang w:val="en-US" w:eastAsia="zh-CN"/>
              </w:rPr>
              <w:t>正常推进中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05" w:hRule="atLeast"/>
          <w:jc w:val="center"/>
        </w:trPr>
        <w:tc>
          <w:tcPr>
            <w:tcW w:w="986" w:type="dxa"/>
            <w:vMerge w:val="restart"/>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Fonts w:hint="default" w:ascii="仿宋_GB2312" w:hAnsi="仿宋_GB2312" w:eastAsia="仿宋_GB2312" w:cs="仿宋_GB2312"/>
                <w:b/>
                <w:bCs/>
                <w:i w:val="0"/>
                <w:iCs w:val="0"/>
                <w:color w:val="000000"/>
                <w:kern w:val="0"/>
                <w:sz w:val="20"/>
                <w:szCs w:val="20"/>
                <w:u w:val="none"/>
                <w:lang w:val="en-US" w:eastAsia="zh-CN" w:bidi="ar"/>
              </w:rPr>
            </w:pPr>
            <w:r>
              <w:rPr>
                <w:rFonts w:hint="eastAsia" w:ascii="仿宋_GB2312" w:hAnsi="仿宋_GB2312" w:eastAsia="仿宋_GB2312" w:cs="仿宋_GB2312"/>
                <w:b/>
                <w:bCs/>
                <w:i w:val="0"/>
                <w:iCs w:val="0"/>
                <w:color w:val="000000"/>
                <w:kern w:val="0"/>
                <w:sz w:val="20"/>
                <w:szCs w:val="20"/>
                <w:u w:val="none"/>
                <w:lang w:val="en-US" w:eastAsia="zh-CN" w:bidi="ar"/>
              </w:rPr>
              <w:t>人才引进</w:t>
            </w:r>
          </w:p>
        </w:tc>
        <w:tc>
          <w:tcPr>
            <w:tcW w:w="1678"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Fonts w:hint="eastAsia" w:ascii="仿宋_GB2312" w:hAnsi="仿宋_GB2312" w:eastAsia="仿宋_GB2312" w:cs="仿宋_GB2312"/>
                <w:i w:val="0"/>
                <w:iCs w:val="0"/>
                <w:color w:val="000000"/>
                <w:kern w:val="0"/>
                <w:sz w:val="20"/>
                <w:szCs w:val="20"/>
                <w:highlight w:val="none"/>
                <w:u w:val="none"/>
                <w:lang w:val="en-US" w:eastAsia="zh-CN" w:bidi="ar"/>
              </w:rPr>
            </w:pPr>
            <w:r>
              <w:rPr>
                <w:rFonts w:hint="eastAsia" w:ascii="仿宋_GB2312" w:hAnsi="仿宋_GB2312" w:eastAsia="仿宋_GB2312" w:cs="仿宋_GB2312"/>
                <w:i w:val="0"/>
                <w:iCs w:val="0"/>
                <w:color w:val="000000"/>
                <w:kern w:val="0"/>
                <w:sz w:val="20"/>
                <w:szCs w:val="20"/>
                <w:u w:val="none"/>
                <w:lang w:val="en-US" w:eastAsia="zh-CN" w:bidi="ar"/>
              </w:rPr>
              <w:t>五年内招聘教师不少于5名</w:t>
            </w:r>
          </w:p>
        </w:tc>
        <w:tc>
          <w:tcPr>
            <w:tcW w:w="1184"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Fonts w:hint="eastAsia" w:ascii="仿宋_GB2312" w:hAnsi="仿宋_GB2312" w:eastAsia="仿宋_GB2312" w:cs="仿宋_GB2312"/>
                <w:i w:val="0"/>
                <w:iCs w:val="0"/>
                <w:color w:val="000000"/>
                <w:kern w:val="0"/>
                <w:sz w:val="20"/>
                <w:szCs w:val="20"/>
                <w:u w:val="none"/>
                <w:lang w:val="en-US" w:eastAsia="zh-CN" w:bidi="ar"/>
              </w:rPr>
            </w:pPr>
            <w:r>
              <w:rPr>
                <w:rFonts w:hint="eastAsia" w:ascii="仿宋_GB2312" w:hAnsi="仿宋_GB2312" w:eastAsia="仿宋_GB2312" w:cs="仿宋_GB2312"/>
                <w:i w:val="0"/>
                <w:iCs w:val="0"/>
                <w:color w:val="000000"/>
                <w:kern w:val="0"/>
                <w:sz w:val="20"/>
                <w:szCs w:val="20"/>
                <w:u w:val="none"/>
                <w:lang w:val="en-US" w:eastAsia="zh-CN" w:bidi="ar"/>
              </w:rPr>
              <w:t>2020-2021年共引进4名</w:t>
            </w:r>
          </w:p>
        </w:tc>
        <w:tc>
          <w:tcPr>
            <w:tcW w:w="1051"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Fonts w:hint="eastAsia" w:ascii="仿宋_GB2312" w:hAnsi="仿宋_GB2312" w:eastAsia="仿宋_GB2312" w:cs="仿宋_GB2312"/>
                <w:i w:val="0"/>
                <w:iCs w:val="0"/>
                <w:color w:val="000000"/>
                <w:kern w:val="0"/>
                <w:sz w:val="20"/>
                <w:szCs w:val="20"/>
                <w:u w:val="none"/>
                <w:lang w:val="en-US" w:eastAsia="zh-CN" w:bidi="ar"/>
              </w:rPr>
            </w:pPr>
            <w:r>
              <w:rPr>
                <w:rFonts w:hint="eastAsia" w:ascii="仿宋_GB2312" w:hAnsi="仿宋_GB2312" w:eastAsia="仿宋_GB2312" w:cs="仿宋_GB2312"/>
                <w:i w:val="0"/>
                <w:iCs w:val="0"/>
                <w:color w:val="000000"/>
                <w:kern w:val="0"/>
                <w:sz w:val="20"/>
                <w:szCs w:val="20"/>
                <w:u w:val="none"/>
                <w:lang w:val="en-US" w:eastAsia="zh-CN" w:bidi="ar"/>
              </w:rPr>
              <w:t>在职4名</w:t>
            </w:r>
          </w:p>
        </w:tc>
        <w:tc>
          <w:tcPr>
            <w:tcW w:w="1129"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Style w:val="9"/>
                <w:rFonts w:hint="eastAsia" w:ascii="仿宋_GB2312" w:hAnsi="仿宋_GB2312" w:eastAsia="仿宋_GB2312" w:cs="仿宋_GB2312"/>
                <w:sz w:val="20"/>
                <w:szCs w:val="20"/>
                <w:lang w:val="en-US" w:eastAsia="zh-CN" w:bidi="ar"/>
              </w:rPr>
            </w:pPr>
            <w:r>
              <w:rPr>
                <w:rStyle w:val="9"/>
                <w:rFonts w:hint="eastAsia" w:ascii="仿宋_GB2312" w:hAnsi="仿宋_GB2312" w:eastAsia="仿宋_GB2312" w:cs="仿宋_GB2312"/>
                <w:sz w:val="20"/>
                <w:szCs w:val="20"/>
                <w:lang w:val="en-US" w:eastAsia="zh-CN" w:bidi="ar"/>
              </w:rPr>
              <w:t>新引进3名，在职6名</w:t>
            </w:r>
          </w:p>
        </w:tc>
        <w:tc>
          <w:tcPr>
            <w:tcW w:w="881" w:type="dxa"/>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line="240" w:lineRule="atLeast"/>
              <w:ind w:left="0" w:leftChars="0" w:firstLine="0" w:firstLineChars="0"/>
              <w:jc w:val="center"/>
              <w:textAlignment w:val="auto"/>
              <w:rPr>
                <w:rFonts w:hint="default"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在职6名</w:t>
            </w:r>
          </w:p>
        </w:tc>
        <w:tc>
          <w:tcPr>
            <w:tcW w:w="125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line="240" w:lineRule="atLeast"/>
              <w:ind w:left="0" w:leftChars="0" w:firstLine="0" w:firstLineChars="0"/>
              <w:jc w:val="center"/>
              <w:textAlignment w:val="auto"/>
              <w:rPr>
                <w:rFonts w:hint="default"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共引进7名，现在职6名</w:t>
            </w:r>
          </w:p>
        </w:tc>
        <w:tc>
          <w:tcPr>
            <w:tcW w:w="137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line="240" w:lineRule="atLeast"/>
              <w:ind w:left="0" w:leftChars="0" w:firstLine="0" w:firstLineChars="0"/>
              <w:jc w:val="center"/>
              <w:textAlignment w:val="auto"/>
              <w:rPr>
                <w:rFonts w:hint="default" w:ascii="仿宋_GB2312" w:hAnsi="仿宋_GB2312" w:eastAsia="仿宋_GB2312" w:cs="仿宋_GB2312"/>
                <w:b w:val="0"/>
                <w:bCs w:val="0"/>
                <w:sz w:val="20"/>
                <w:szCs w:val="20"/>
                <w:vertAlign w:val="baseline"/>
                <w:lang w:val="en-US" w:eastAsia="zh-CN"/>
              </w:rPr>
            </w:pPr>
            <w:r>
              <w:rPr>
                <w:rFonts w:hint="eastAsia" w:ascii="仿宋_GB2312" w:hAnsi="仿宋_GB2312" w:eastAsia="仿宋_GB2312" w:cs="仿宋_GB2312"/>
                <w:b w:val="0"/>
                <w:bCs w:val="0"/>
                <w:sz w:val="20"/>
                <w:szCs w:val="20"/>
                <w:vertAlign w:val="baseline"/>
                <w:lang w:val="en-US" w:eastAsia="zh-CN"/>
              </w:rPr>
              <w:t>已完成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05" w:hRule="atLeast"/>
          <w:jc w:val="center"/>
        </w:trPr>
        <w:tc>
          <w:tcPr>
            <w:tcW w:w="986" w:type="dxa"/>
            <w:vMerge w:val="continue"/>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Fonts w:hint="default" w:ascii="仿宋_GB2312" w:hAnsi="仿宋_GB2312" w:eastAsia="仿宋_GB2312" w:cs="仿宋_GB2312"/>
                <w:b/>
                <w:bCs/>
                <w:i w:val="0"/>
                <w:iCs w:val="0"/>
                <w:color w:val="000000"/>
                <w:kern w:val="0"/>
                <w:sz w:val="20"/>
                <w:szCs w:val="20"/>
                <w:u w:val="none"/>
                <w:lang w:val="en-US" w:eastAsia="zh-CN" w:bidi="ar"/>
              </w:rPr>
            </w:pPr>
          </w:p>
        </w:tc>
        <w:tc>
          <w:tcPr>
            <w:tcW w:w="1678" w:type="dxa"/>
            <w:vAlign w:val="center"/>
          </w:tcPr>
          <w:p>
            <w:pPr>
              <w:keepNext w:val="0"/>
              <w:keepLines w:val="0"/>
              <w:pageBreakBefore w:val="0"/>
              <w:widowControl w:val="0"/>
              <w:kinsoku/>
              <w:wordWrap/>
              <w:overflowPunct/>
              <w:topLinePunct w:val="0"/>
              <w:autoSpaceDE/>
              <w:autoSpaceDN/>
              <w:bidi w:val="0"/>
              <w:adjustRightInd/>
              <w:snapToGrid w:val="0"/>
              <w:spacing w:line="240" w:lineRule="atLeast"/>
              <w:ind w:left="0" w:leftChars="0" w:firstLine="0" w:firstLineChars="0"/>
              <w:jc w:val="center"/>
              <w:textAlignment w:val="auto"/>
              <w:rPr>
                <w:rFonts w:hint="eastAsia" w:ascii="仿宋_GB2312" w:hAnsi="仿宋_GB2312" w:eastAsia="仿宋_GB2312" w:cs="仿宋_GB2312"/>
                <w:i w:val="0"/>
                <w:iCs w:val="0"/>
                <w:color w:val="000000"/>
                <w:kern w:val="0"/>
                <w:sz w:val="20"/>
                <w:szCs w:val="20"/>
                <w:highlight w:val="none"/>
                <w:u w:val="none"/>
                <w:lang w:val="en-US" w:eastAsia="zh-CN" w:bidi="ar"/>
              </w:rPr>
            </w:pPr>
            <w:r>
              <w:rPr>
                <w:rFonts w:hint="eastAsia" w:ascii="仿宋_GB2312" w:hAnsi="仿宋_GB2312" w:eastAsia="仿宋_GB2312" w:cs="仿宋_GB2312"/>
                <w:i w:val="0"/>
                <w:iCs w:val="0"/>
                <w:color w:val="000000"/>
                <w:kern w:val="0"/>
                <w:sz w:val="20"/>
                <w:szCs w:val="20"/>
                <w:u w:val="none"/>
                <w:lang w:val="en-US" w:eastAsia="zh-CN" w:bidi="ar"/>
              </w:rPr>
              <w:t>五年内引进高层次人才不少于8名</w:t>
            </w:r>
          </w:p>
        </w:tc>
        <w:tc>
          <w:tcPr>
            <w:tcW w:w="1184"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Fonts w:hint="eastAsia" w:ascii="仿宋_GB2312" w:hAnsi="仿宋_GB2312" w:eastAsia="仿宋_GB2312" w:cs="仿宋_GB2312"/>
                <w:i w:val="0"/>
                <w:iCs w:val="0"/>
                <w:color w:val="000000"/>
                <w:kern w:val="0"/>
                <w:sz w:val="20"/>
                <w:szCs w:val="20"/>
                <w:u w:val="none"/>
                <w:lang w:val="en-US" w:eastAsia="zh-CN" w:bidi="ar"/>
              </w:rPr>
            </w:pPr>
            <w:r>
              <w:rPr>
                <w:rFonts w:hint="eastAsia" w:ascii="仿宋_GB2312" w:hAnsi="仿宋_GB2312" w:eastAsia="仿宋_GB2312" w:cs="仿宋_GB2312"/>
                <w:i w:val="0"/>
                <w:iCs w:val="0"/>
                <w:color w:val="000000"/>
                <w:kern w:val="0"/>
                <w:sz w:val="20"/>
                <w:szCs w:val="20"/>
                <w:u w:val="none"/>
                <w:lang w:val="en-US" w:eastAsia="zh-CN" w:bidi="ar"/>
              </w:rPr>
              <w:t>引进2名</w:t>
            </w:r>
          </w:p>
        </w:tc>
        <w:tc>
          <w:tcPr>
            <w:tcW w:w="1051"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Fonts w:hint="eastAsia" w:ascii="仿宋_GB2312" w:hAnsi="仿宋_GB2312" w:eastAsia="仿宋_GB2312" w:cs="仿宋_GB2312"/>
                <w:i w:val="0"/>
                <w:iCs w:val="0"/>
                <w:color w:val="000000"/>
                <w:kern w:val="0"/>
                <w:sz w:val="20"/>
                <w:szCs w:val="20"/>
                <w:u w:val="none"/>
                <w:lang w:val="en-US" w:eastAsia="zh-CN" w:bidi="ar"/>
              </w:rPr>
            </w:pPr>
            <w:r>
              <w:rPr>
                <w:rFonts w:hint="eastAsia" w:ascii="仿宋_GB2312" w:hAnsi="仿宋_GB2312" w:eastAsia="仿宋_GB2312" w:cs="仿宋_GB2312"/>
                <w:i w:val="0"/>
                <w:iCs w:val="0"/>
                <w:color w:val="000000"/>
                <w:kern w:val="0"/>
                <w:sz w:val="20"/>
                <w:szCs w:val="20"/>
                <w:u w:val="none"/>
                <w:lang w:val="en-US" w:eastAsia="zh-CN" w:bidi="ar"/>
              </w:rPr>
              <w:t>引进2名</w:t>
            </w:r>
            <w:r>
              <w:rPr>
                <w:rFonts w:hint="eastAsia" w:ascii="仿宋_GB2312" w:hAnsi="仿宋_GB2312" w:eastAsia="仿宋_GB2312" w:cs="仿宋_GB2312"/>
                <w:sz w:val="20"/>
                <w:szCs w:val="20"/>
                <w:lang w:eastAsia="zh-CN"/>
              </w:rPr>
              <w:t>，</w:t>
            </w:r>
            <w:r>
              <w:rPr>
                <w:rFonts w:hint="eastAsia" w:ascii="仿宋_GB2312" w:hAnsi="仿宋_GB2312" w:eastAsia="仿宋_GB2312" w:cs="仿宋_GB2312"/>
                <w:sz w:val="20"/>
                <w:szCs w:val="20"/>
                <w:lang w:val="en-US" w:eastAsia="zh-CN"/>
              </w:rPr>
              <w:t>出站1名，在站3名</w:t>
            </w:r>
          </w:p>
        </w:tc>
        <w:tc>
          <w:tcPr>
            <w:tcW w:w="1129"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Style w:val="9"/>
                <w:rFonts w:hint="default" w:ascii="仿宋_GB2312" w:hAnsi="仿宋_GB2312" w:eastAsia="仿宋_GB2312" w:cs="仿宋_GB2312"/>
                <w:sz w:val="20"/>
                <w:szCs w:val="20"/>
                <w:lang w:val="en-US" w:eastAsia="zh-CN" w:bidi="ar"/>
              </w:rPr>
            </w:pPr>
            <w:r>
              <w:rPr>
                <w:rStyle w:val="9"/>
                <w:rFonts w:hint="eastAsia" w:ascii="仿宋_GB2312" w:hAnsi="仿宋_GB2312" w:eastAsia="仿宋_GB2312" w:cs="仿宋_GB2312"/>
                <w:sz w:val="20"/>
                <w:szCs w:val="20"/>
                <w:lang w:val="en-US" w:eastAsia="zh-CN" w:bidi="ar"/>
              </w:rPr>
              <w:t>引进1名，出站1名，退站1名，在站2名</w:t>
            </w:r>
          </w:p>
        </w:tc>
        <w:tc>
          <w:tcPr>
            <w:tcW w:w="881" w:type="dxa"/>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line="240" w:lineRule="atLeast"/>
              <w:ind w:left="0" w:leftChars="0" w:firstLine="0" w:firstLineChars="0"/>
              <w:jc w:val="center"/>
              <w:textAlignment w:val="auto"/>
              <w:rPr>
                <w:rFonts w:hint="default"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引进1名，在站3名</w:t>
            </w:r>
          </w:p>
        </w:tc>
        <w:tc>
          <w:tcPr>
            <w:tcW w:w="125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line="240" w:lineRule="atLeast"/>
              <w:ind w:left="0" w:leftChars="0" w:firstLine="0" w:firstLineChars="0"/>
              <w:jc w:val="center"/>
              <w:textAlignment w:val="auto"/>
              <w:rPr>
                <w:rFonts w:hint="default"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共引进6名，现在站3名</w:t>
            </w:r>
          </w:p>
        </w:tc>
        <w:tc>
          <w:tcPr>
            <w:tcW w:w="137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line="240" w:lineRule="atLeast"/>
              <w:ind w:left="0" w:leftChars="0" w:firstLine="0" w:firstLineChars="0"/>
              <w:jc w:val="center"/>
              <w:textAlignment w:val="auto"/>
              <w:rPr>
                <w:rFonts w:hint="default" w:ascii="仿宋_GB2312" w:hAnsi="仿宋_GB2312" w:eastAsia="仿宋_GB2312" w:cs="仿宋_GB2312"/>
                <w:b w:val="0"/>
                <w:bCs w:val="0"/>
                <w:sz w:val="20"/>
                <w:szCs w:val="20"/>
                <w:vertAlign w:val="baseline"/>
                <w:lang w:val="en-US" w:eastAsia="zh-CN"/>
              </w:rPr>
            </w:pPr>
            <w:r>
              <w:rPr>
                <w:rFonts w:hint="eastAsia" w:ascii="仿宋_GB2312" w:hAnsi="仿宋_GB2312" w:eastAsia="仿宋_GB2312" w:cs="仿宋_GB2312"/>
                <w:b w:val="0"/>
                <w:bCs w:val="0"/>
                <w:sz w:val="20"/>
                <w:szCs w:val="20"/>
                <w:vertAlign w:val="baseline"/>
                <w:lang w:val="en-US" w:eastAsia="zh-CN"/>
              </w:rPr>
              <w:t>正常推进中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16" w:hRule="atLeast"/>
          <w:jc w:val="center"/>
        </w:trPr>
        <w:tc>
          <w:tcPr>
            <w:tcW w:w="986"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Fonts w:hint="eastAsia" w:ascii="仿宋_GB2312" w:hAnsi="仿宋_GB2312" w:eastAsia="仿宋_GB2312" w:cs="仿宋_GB2312"/>
                <w:b/>
                <w:bCs/>
                <w:sz w:val="20"/>
                <w:szCs w:val="20"/>
                <w:vertAlign w:val="baseline"/>
              </w:rPr>
            </w:pPr>
            <w:r>
              <w:rPr>
                <w:rFonts w:hint="eastAsia" w:ascii="仿宋_GB2312" w:hAnsi="仿宋_GB2312" w:eastAsia="仿宋_GB2312" w:cs="仿宋_GB2312"/>
                <w:b/>
                <w:bCs/>
                <w:i w:val="0"/>
                <w:iCs w:val="0"/>
                <w:color w:val="000000"/>
                <w:kern w:val="0"/>
                <w:sz w:val="20"/>
                <w:szCs w:val="20"/>
                <w:u w:val="none"/>
                <w:lang w:val="en-US" w:eastAsia="zh-CN" w:bidi="ar"/>
              </w:rPr>
              <w:t>决策参考</w:t>
            </w:r>
          </w:p>
        </w:tc>
        <w:tc>
          <w:tcPr>
            <w:tcW w:w="1678"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Fonts w:hint="eastAsia" w:ascii="仿宋_GB2312" w:hAnsi="仿宋_GB2312" w:eastAsia="仿宋_GB2312" w:cs="仿宋_GB2312"/>
                <w:sz w:val="20"/>
                <w:szCs w:val="20"/>
                <w:vertAlign w:val="baseline"/>
              </w:rPr>
            </w:pPr>
            <w:r>
              <w:rPr>
                <w:rFonts w:hint="eastAsia" w:ascii="仿宋_GB2312" w:hAnsi="仿宋_GB2312" w:eastAsia="仿宋_GB2312" w:cs="仿宋_GB2312"/>
                <w:i w:val="0"/>
                <w:iCs w:val="0"/>
                <w:color w:val="000000"/>
                <w:kern w:val="0"/>
                <w:sz w:val="20"/>
                <w:szCs w:val="20"/>
                <w:u w:val="none"/>
                <w:lang w:val="en-US" w:eastAsia="zh-CN" w:bidi="ar"/>
              </w:rPr>
              <w:t>每年提供3项以上</w:t>
            </w:r>
          </w:p>
        </w:tc>
        <w:tc>
          <w:tcPr>
            <w:tcW w:w="1184"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Fonts w:hint="eastAsia" w:ascii="仿宋_GB2312" w:hAnsi="仿宋_GB2312" w:eastAsia="仿宋_GB2312" w:cs="仿宋_GB2312"/>
                <w:sz w:val="20"/>
                <w:szCs w:val="20"/>
                <w:vertAlign w:val="baseline"/>
              </w:rPr>
            </w:pPr>
            <w:r>
              <w:rPr>
                <w:rFonts w:hint="eastAsia" w:ascii="仿宋_GB2312" w:hAnsi="仿宋_GB2312" w:eastAsia="仿宋_GB2312" w:cs="仿宋_GB2312"/>
                <w:i w:val="0"/>
                <w:iCs w:val="0"/>
                <w:color w:val="000000"/>
                <w:kern w:val="0"/>
                <w:sz w:val="20"/>
                <w:szCs w:val="20"/>
                <w:u w:val="none"/>
                <w:lang w:val="en-US" w:eastAsia="zh-CN" w:bidi="ar"/>
              </w:rPr>
              <w:t>/</w:t>
            </w:r>
          </w:p>
        </w:tc>
        <w:tc>
          <w:tcPr>
            <w:tcW w:w="1051"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Fonts w:hint="eastAsia" w:ascii="仿宋_GB2312" w:hAnsi="仿宋_GB2312" w:eastAsia="仿宋_GB2312" w:cs="仿宋_GB2312"/>
                <w:sz w:val="20"/>
                <w:szCs w:val="20"/>
                <w:vertAlign w:val="baseline"/>
              </w:rPr>
            </w:pPr>
            <w:r>
              <w:rPr>
                <w:rFonts w:hint="eastAsia" w:ascii="仿宋_GB2312" w:hAnsi="仿宋_GB2312" w:eastAsia="仿宋_GB2312" w:cs="仿宋_GB2312"/>
                <w:i w:val="0"/>
                <w:iCs w:val="0"/>
                <w:color w:val="000000"/>
                <w:kern w:val="0"/>
                <w:sz w:val="20"/>
                <w:szCs w:val="20"/>
                <w:u w:val="none"/>
                <w:lang w:val="en-US" w:eastAsia="zh-CN" w:bidi="ar"/>
              </w:rPr>
              <w:t>4项</w:t>
            </w:r>
          </w:p>
        </w:tc>
        <w:tc>
          <w:tcPr>
            <w:tcW w:w="1129"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Fonts w:hint="eastAsia" w:ascii="仿宋_GB2312" w:hAnsi="仿宋_GB2312" w:eastAsia="仿宋_GB2312" w:cs="仿宋_GB2312"/>
                <w:sz w:val="20"/>
                <w:szCs w:val="20"/>
                <w:vertAlign w:val="baseline"/>
                <w:lang w:val="en-US"/>
              </w:rPr>
            </w:pPr>
            <w:r>
              <w:rPr>
                <w:rStyle w:val="10"/>
                <w:rFonts w:hint="eastAsia" w:ascii="仿宋_GB2312" w:hAnsi="仿宋_GB2312" w:eastAsia="仿宋_GB2312" w:cs="仿宋_GB2312"/>
                <w:sz w:val="20"/>
                <w:szCs w:val="20"/>
                <w:lang w:val="en-US" w:eastAsia="zh-CN" w:bidi="ar"/>
              </w:rPr>
              <w:t>10项</w:t>
            </w:r>
          </w:p>
        </w:tc>
        <w:tc>
          <w:tcPr>
            <w:tcW w:w="881" w:type="dxa"/>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line="240" w:lineRule="atLeast"/>
              <w:jc w:val="center"/>
              <w:textAlignment w:val="auto"/>
              <w:rPr>
                <w:rFonts w:hint="eastAsia"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6项</w:t>
            </w:r>
          </w:p>
        </w:tc>
        <w:tc>
          <w:tcPr>
            <w:tcW w:w="125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line="240" w:lineRule="atLeast"/>
              <w:jc w:val="center"/>
              <w:textAlignment w:val="auto"/>
              <w:rPr>
                <w:rFonts w:hint="default"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20项</w:t>
            </w:r>
          </w:p>
        </w:tc>
        <w:tc>
          <w:tcPr>
            <w:tcW w:w="137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line="240" w:lineRule="atLeast"/>
              <w:jc w:val="center"/>
              <w:textAlignment w:val="auto"/>
              <w:rPr>
                <w:rFonts w:hint="eastAsia"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超出预期</w:t>
            </w:r>
          </w:p>
          <w:p>
            <w:pPr>
              <w:keepNext w:val="0"/>
              <w:keepLines w:val="0"/>
              <w:pageBreakBefore w:val="0"/>
              <w:widowControl w:val="0"/>
              <w:numPr>
                <w:ilvl w:val="0"/>
                <w:numId w:val="0"/>
              </w:numPr>
              <w:kinsoku/>
              <w:wordWrap/>
              <w:overflowPunct/>
              <w:topLinePunct w:val="0"/>
              <w:autoSpaceDE/>
              <w:autoSpaceDN/>
              <w:bidi w:val="0"/>
              <w:adjustRightInd/>
              <w:snapToGrid w:val="0"/>
              <w:spacing w:line="240" w:lineRule="atLeast"/>
              <w:jc w:val="center"/>
              <w:textAlignment w:val="auto"/>
              <w:rPr>
                <w:rFonts w:hint="eastAsia"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已完成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91" w:hRule="atLeast"/>
          <w:jc w:val="center"/>
        </w:trPr>
        <w:tc>
          <w:tcPr>
            <w:tcW w:w="986"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Fonts w:hint="eastAsia" w:ascii="仿宋_GB2312" w:hAnsi="仿宋_GB2312" w:eastAsia="仿宋_GB2312" w:cs="仿宋_GB2312"/>
                <w:b/>
                <w:bCs/>
                <w:sz w:val="20"/>
                <w:szCs w:val="20"/>
                <w:vertAlign w:val="baseline"/>
              </w:rPr>
            </w:pPr>
            <w:r>
              <w:rPr>
                <w:rFonts w:hint="eastAsia" w:ascii="仿宋_GB2312" w:hAnsi="仿宋_GB2312" w:eastAsia="仿宋_GB2312" w:cs="仿宋_GB2312"/>
                <w:b/>
                <w:bCs/>
                <w:i w:val="0"/>
                <w:iCs w:val="0"/>
                <w:color w:val="000000"/>
                <w:kern w:val="0"/>
                <w:sz w:val="20"/>
                <w:szCs w:val="20"/>
                <w:u w:val="none"/>
                <w:lang w:val="en-US" w:eastAsia="zh-CN" w:bidi="ar"/>
              </w:rPr>
              <w:t>政府培训</w:t>
            </w:r>
          </w:p>
        </w:tc>
        <w:tc>
          <w:tcPr>
            <w:tcW w:w="1678"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Fonts w:hint="eastAsia" w:ascii="仿宋_GB2312" w:hAnsi="仿宋_GB2312" w:eastAsia="仿宋_GB2312" w:cs="仿宋_GB2312"/>
                <w:sz w:val="20"/>
                <w:szCs w:val="20"/>
                <w:vertAlign w:val="baseline"/>
              </w:rPr>
            </w:pPr>
            <w:r>
              <w:rPr>
                <w:rFonts w:hint="eastAsia" w:ascii="仿宋_GB2312" w:hAnsi="仿宋_GB2312" w:eastAsia="仿宋_GB2312" w:cs="仿宋_GB2312"/>
                <w:i w:val="0"/>
                <w:iCs w:val="0"/>
                <w:color w:val="000000"/>
                <w:kern w:val="0"/>
                <w:sz w:val="20"/>
                <w:szCs w:val="20"/>
                <w:u w:val="none"/>
                <w:lang w:val="en-US" w:eastAsia="zh-CN" w:bidi="ar"/>
              </w:rPr>
              <w:t>每年不少于5次</w:t>
            </w:r>
          </w:p>
        </w:tc>
        <w:tc>
          <w:tcPr>
            <w:tcW w:w="1184"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Fonts w:hint="eastAsia" w:ascii="仿宋_GB2312" w:hAnsi="仿宋_GB2312" w:eastAsia="仿宋_GB2312" w:cs="仿宋_GB2312"/>
                <w:sz w:val="20"/>
                <w:szCs w:val="20"/>
                <w:vertAlign w:val="baseline"/>
              </w:rPr>
            </w:pPr>
            <w:r>
              <w:rPr>
                <w:rFonts w:hint="eastAsia" w:ascii="仿宋_GB2312" w:hAnsi="仿宋_GB2312" w:eastAsia="仿宋_GB2312" w:cs="仿宋_GB2312"/>
                <w:i w:val="0"/>
                <w:iCs w:val="0"/>
                <w:color w:val="000000"/>
                <w:kern w:val="0"/>
                <w:sz w:val="20"/>
                <w:szCs w:val="20"/>
                <w:u w:val="none"/>
                <w:lang w:val="en-US" w:eastAsia="zh-CN" w:bidi="ar"/>
              </w:rPr>
              <w:t>2次</w:t>
            </w:r>
          </w:p>
        </w:tc>
        <w:tc>
          <w:tcPr>
            <w:tcW w:w="1051"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Fonts w:hint="eastAsia" w:ascii="仿宋_GB2312" w:hAnsi="仿宋_GB2312" w:eastAsia="仿宋_GB2312" w:cs="仿宋_GB2312"/>
                <w:sz w:val="20"/>
                <w:szCs w:val="20"/>
                <w:vertAlign w:val="baseline"/>
              </w:rPr>
            </w:pPr>
            <w:r>
              <w:rPr>
                <w:rFonts w:hint="eastAsia" w:ascii="仿宋_GB2312" w:hAnsi="仿宋_GB2312" w:eastAsia="仿宋_GB2312" w:cs="仿宋_GB2312"/>
                <w:i w:val="0"/>
                <w:iCs w:val="0"/>
                <w:color w:val="000000"/>
                <w:kern w:val="0"/>
                <w:sz w:val="20"/>
                <w:szCs w:val="20"/>
                <w:u w:val="none"/>
                <w:lang w:val="en-US" w:eastAsia="zh-CN" w:bidi="ar"/>
              </w:rPr>
              <w:t>8次</w:t>
            </w:r>
          </w:p>
        </w:tc>
        <w:tc>
          <w:tcPr>
            <w:tcW w:w="1129"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Fonts w:hint="eastAsia" w:ascii="仿宋_GB2312" w:hAnsi="仿宋_GB2312" w:eastAsia="仿宋_GB2312" w:cs="仿宋_GB2312"/>
                <w:sz w:val="20"/>
                <w:szCs w:val="20"/>
                <w:vertAlign w:val="baseline"/>
              </w:rPr>
            </w:pPr>
            <w:r>
              <w:rPr>
                <w:rFonts w:hint="eastAsia" w:ascii="仿宋_GB2312" w:hAnsi="仿宋_GB2312" w:eastAsia="仿宋_GB2312" w:cs="仿宋_GB2312"/>
                <w:i w:val="0"/>
                <w:iCs w:val="0"/>
                <w:color w:val="000000"/>
                <w:kern w:val="0"/>
                <w:sz w:val="20"/>
                <w:szCs w:val="20"/>
                <w:u w:val="none"/>
                <w:lang w:val="en-US" w:eastAsia="zh-CN" w:bidi="ar"/>
              </w:rPr>
              <w:t>5次</w:t>
            </w:r>
          </w:p>
        </w:tc>
        <w:tc>
          <w:tcPr>
            <w:tcW w:w="881" w:type="dxa"/>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line="240" w:lineRule="atLeast"/>
              <w:jc w:val="center"/>
              <w:textAlignment w:val="auto"/>
              <w:rPr>
                <w:rFonts w:hint="eastAsia"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7次</w:t>
            </w:r>
          </w:p>
        </w:tc>
        <w:tc>
          <w:tcPr>
            <w:tcW w:w="125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line="240" w:lineRule="atLeast"/>
              <w:jc w:val="center"/>
              <w:textAlignment w:val="auto"/>
              <w:rPr>
                <w:rFonts w:hint="default"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22项</w:t>
            </w:r>
          </w:p>
        </w:tc>
        <w:tc>
          <w:tcPr>
            <w:tcW w:w="137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line="240" w:lineRule="atLeast"/>
              <w:jc w:val="center"/>
              <w:textAlignment w:val="auto"/>
              <w:rPr>
                <w:rFonts w:hint="eastAsia"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超出预期</w:t>
            </w:r>
          </w:p>
          <w:p>
            <w:pPr>
              <w:keepNext w:val="0"/>
              <w:keepLines w:val="0"/>
              <w:pageBreakBefore w:val="0"/>
              <w:widowControl w:val="0"/>
              <w:numPr>
                <w:ilvl w:val="0"/>
                <w:numId w:val="0"/>
              </w:numPr>
              <w:kinsoku/>
              <w:wordWrap/>
              <w:overflowPunct/>
              <w:topLinePunct w:val="0"/>
              <w:autoSpaceDE/>
              <w:autoSpaceDN/>
              <w:bidi w:val="0"/>
              <w:adjustRightInd/>
              <w:snapToGrid w:val="0"/>
              <w:spacing w:line="240" w:lineRule="atLeast"/>
              <w:jc w:val="center"/>
              <w:textAlignment w:val="auto"/>
              <w:rPr>
                <w:rFonts w:hint="eastAsia" w:ascii="仿宋_GB2312" w:hAnsi="仿宋_GB2312" w:eastAsia="仿宋_GB2312" w:cs="仿宋_GB2312"/>
                <w:sz w:val="20"/>
                <w:szCs w:val="20"/>
                <w:vertAlign w:val="baseline"/>
                <w:lang w:val="en-US" w:eastAsia="zh-CN"/>
              </w:rPr>
            </w:pPr>
            <w:r>
              <w:rPr>
                <w:rFonts w:hint="eastAsia" w:ascii="仿宋_GB2312" w:hAnsi="仿宋_GB2312" w:eastAsia="仿宋_GB2312" w:cs="仿宋_GB2312"/>
                <w:b w:val="0"/>
                <w:bCs w:val="0"/>
                <w:sz w:val="20"/>
                <w:szCs w:val="20"/>
                <w:vertAlign w:val="baseline"/>
                <w:lang w:val="en-US" w:eastAsia="zh-CN"/>
              </w:rPr>
              <w:t>已完成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95" w:hRule="atLeast"/>
          <w:jc w:val="center"/>
        </w:trPr>
        <w:tc>
          <w:tcPr>
            <w:tcW w:w="986"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Fonts w:hint="eastAsia" w:ascii="仿宋_GB2312" w:hAnsi="仿宋_GB2312" w:eastAsia="仿宋_GB2312" w:cs="仿宋_GB2312"/>
                <w:b/>
                <w:bCs/>
                <w:sz w:val="20"/>
                <w:szCs w:val="20"/>
                <w:vertAlign w:val="baseline"/>
                <w:lang w:val="en-US"/>
              </w:rPr>
            </w:pPr>
            <w:r>
              <w:rPr>
                <w:rFonts w:hint="eastAsia" w:ascii="仿宋_GB2312" w:hAnsi="仿宋_GB2312" w:eastAsia="仿宋_GB2312" w:cs="仿宋_GB2312"/>
                <w:b/>
                <w:bCs/>
                <w:i w:val="0"/>
                <w:iCs w:val="0"/>
                <w:color w:val="000000"/>
                <w:kern w:val="0"/>
                <w:sz w:val="20"/>
                <w:szCs w:val="20"/>
                <w:u w:val="none"/>
                <w:lang w:val="en-US" w:eastAsia="zh-CN" w:bidi="ar"/>
              </w:rPr>
              <w:t>国际论坛与学术会议举办</w:t>
            </w:r>
          </w:p>
        </w:tc>
        <w:tc>
          <w:tcPr>
            <w:tcW w:w="1678"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Fonts w:hint="eastAsia" w:ascii="仿宋_GB2312" w:hAnsi="仿宋_GB2312" w:eastAsia="仿宋_GB2312" w:cs="仿宋_GB2312"/>
                <w:sz w:val="20"/>
                <w:szCs w:val="20"/>
                <w:vertAlign w:val="baseline"/>
              </w:rPr>
            </w:pPr>
            <w:r>
              <w:rPr>
                <w:rFonts w:hint="eastAsia" w:ascii="仿宋_GB2312" w:hAnsi="仿宋_GB2312" w:eastAsia="仿宋_GB2312" w:cs="仿宋_GB2312"/>
                <w:i w:val="0"/>
                <w:iCs w:val="0"/>
                <w:color w:val="000000"/>
                <w:kern w:val="0"/>
                <w:sz w:val="20"/>
                <w:szCs w:val="20"/>
                <w:u w:val="none"/>
                <w:lang w:val="en-US" w:eastAsia="zh-CN" w:bidi="ar"/>
              </w:rPr>
              <w:t>每年不少于5次</w:t>
            </w:r>
          </w:p>
        </w:tc>
        <w:tc>
          <w:tcPr>
            <w:tcW w:w="1184"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Fonts w:hint="eastAsia" w:ascii="仿宋_GB2312" w:hAnsi="仿宋_GB2312" w:eastAsia="仿宋_GB2312" w:cs="仿宋_GB2312"/>
                <w:sz w:val="20"/>
                <w:szCs w:val="20"/>
                <w:vertAlign w:val="baseline"/>
              </w:rPr>
            </w:pPr>
            <w:r>
              <w:rPr>
                <w:rFonts w:hint="eastAsia" w:ascii="仿宋_GB2312" w:hAnsi="仿宋_GB2312" w:eastAsia="仿宋_GB2312" w:cs="仿宋_GB2312"/>
                <w:i w:val="0"/>
                <w:iCs w:val="0"/>
                <w:color w:val="000000"/>
                <w:kern w:val="0"/>
                <w:sz w:val="20"/>
                <w:szCs w:val="20"/>
                <w:u w:val="none"/>
                <w:lang w:val="en-US" w:eastAsia="zh-CN" w:bidi="ar"/>
              </w:rPr>
              <w:t>/</w:t>
            </w:r>
          </w:p>
        </w:tc>
        <w:tc>
          <w:tcPr>
            <w:tcW w:w="1051"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Fonts w:hint="eastAsia" w:ascii="仿宋_GB2312" w:hAnsi="仿宋_GB2312" w:eastAsia="仿宋_GB2312" w:cs="仿宋_GB2312"/>
                <w:sz w:val="20"/>
                <w:szCs w:val="20"/>
                <w:vertAlign w:val="baseline"/>
              </w:rPr>
            </w:pPr>
            <w:r>
              <w:rPr>
                <w:rFonts w:hint="eastAsia" w:ascii="仿宋_GB2312" w:hAnsi="仿宋_GB2312" w:eastAsia="仿宋_GB2312" w:cs="仿宋_GB2312"/>
                <w:i w:val="0"/>
                <w:iCs w:val="0"/>
                <w:color w:val="000000"/>
                <w:kern w:val="0"/>
                <w:sz w:val="20"/>
                <w:szCs w:val="20"/>
                <w:u w:val="none"/>
                <w:lang w:val="en-US" w:eastAsia="zh-CN" w:bidi="ar"/>
              </w:rPr>
              <w:t>6次</w:t>
            </w:r>
          </w:p>
        </w:tc>
        <w:tc>
          <w:tcPr>
            <w:tcW w:w="1129"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Fonts w:hint="eastAsia" w:ascii="仿宋_GB2312" w:hAnsi="仿宋_GB2312" w:eastAsia="仿宋_GB2312" w:cs="仿宋_GB2312"/>
                <w:sz w:val="20"/>
                <w:szCs w:val="20"/>
                <w:vertAlign w:val="baseline"/>
              </w:rPr>
            </w:pPr>
            <w:r>
              <w:rPr>
                <w:rFonts w:hint="eastAsia" w:ascii="仿宋_GB2312" w:hAnsi="仿宋_GB2312" w:eastAsia="仿宋_GB2312" w:cs="仿宋_GB2312"/>
                <w:i w:val="0"/>
                <w:iCs w:val="0"/>
                <w:color w:val="000000"/>
                <w:kern w:val="0"/>
                <w:sz w:val="20"/>
                <w:szCs w:val="20"/>
                <w:u w:val="none"/>
                <w:lang w:val="en-US" w:eastAsia="zh-CN" w:bidi="ar"/>
              </w:rPr>
              <w:t>16次</w:t>
            </w:r>
          </w:p>
        </w:tc>
        <w:tc>
          <w:tcPr>
            <w:tcW w:w="881" w:type="dxa"/>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line="240" w:lineRule="atLeast"/>
              <w:jc w:val="center"/>
              <w:textAlignment w:val="auto"/>
              <w:rPr>
                <w:rFonts w:hint="eastAsia"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8次</w:t>
            </w:r>
          </w:p>
        </w:tc>
        <w:tc>
          <w:tcPr>
            <w:tcW w:w="125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line="240" w:lineRule="atLeast"/>
              <w:jc w:val="center"/>
              <w:textAlignment w:val="auto"/>
              <w:rPr>
                <w:rFonts w:hint="default"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30次</w:t>
            </w:r>
          </w:p>
        </w:tc>
        <w:tc>
          <w:tcPr>
            <w:tcW w:w="137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line="240" w:lineRule="atLeast"/>
              <w:jc w:val="center"/>
              <w:textAlignment w:val="auto"/>
              <w:rPr>
                <w:rFonts w:hint="eastAsia"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超出预期</w:t>
            </w:r>
          </w:p>
          <w:p>
            <w:pPr>
              <w:keepNext w:val="0"/>
              <w:keepLines w:val="0"/>
              <w:pageBreakBefore w:val="0"/>
              <w:widowControl w:val="0"/>
              <w:numPr>
                <w:ilvl w:val="0"/>
                <w:numId w:val="0"/>
              </w:numPr>
              <w:kinsoku/>
              <w:wordWrap/>
              <w:overflowPunct/>
              <w:topLinePunct w:val="0"/>
              <w:autoSpaceDE/>
              <w:autoSpaceDN/>
              <w:bidi w:val="0"/>
              <w:adjustRightInd/>
              <w:snapToGrid w:val="0"/>
              <w:spacing w:line="240" w:lineRule="atLeast"/>
              <w:jc w:val="center"/>
              <w:textAlignment w:val="auto"/>
              <w:rPr>
                <w:rFonts w:hint="eastAsia"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已完成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33" w:hRule="atLeast"/>
          <w:jc w:val="center"/>
        </w:trPr>
        <w:tc>
          <w:tcPr>
            <w:tcW w:w="986"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Fonts w:hint="eastAsia" w:ascii="仿宋_GB2312" w:hAnsi="仿宋_GB2312" w:eastAsia="仿宋_GB2312" w:cs="仿宋_GB2312"/>
                <w:b/>
                <w:bCs/>
                <w:i w:val="0"/>
                <w:iCs w:val="0"/>
                <w:color w:val="000000"/>
                <w:kern w:val="0"/>
                <w:sz w:val="20"/>
                <w:szCs w:val="20"/>
                <w:u w:val="none"/>
                <w:lang w:val="en-US" w:eastAsia="zh-CN" w:bidi="ar"/>
              </w:rPr>
            </w:pPr>
            <w:r>
              <w:rPr>
                <w:rFonts w:hint="eastAsia" w:ascii="仿宋_GB2312" w:hAnsi="仿宋_GB2312" w:eastAsia="仿宋_GB2312" w:cs="仿宋_GB2312"/>
                <w:b/>
                <w:bCs/>
                <w:i w:val="0"/>
                <w:iCs w:val="0"/>
                <w:color w:val="000000"/>
                <w:kern w:val="0"/>
                <w:sz w:val="20"/>
                <w:szCs w:val="20"/>
                <w:u w:val="none"/>
                <w:lang w:val="en-US" w:eastAsia="zh-CN" w:bidi="ar"/>
              </w:rPr>
              <w:t>研究中心建设</w:t>
            </w:r>
          </w:p>
        </w:tc>
        <w:tc>
          <w:tcPr>
            <w:tcW w:w="1678"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Fonts w:hint="eastAsia" w:ascii="仿宋_GB2312" w:hAnsi="仿宋_GB2312" w:eastAsia="仿宋_GB2312" w:cs="仿宋_GB2312"/>
                <w:i w:val="0"/>
                <w:iCs w:val="0"/>
                <w:color w:val="000000"/>
                <w:kern w:val="0"/>
                <w:sz w:val="20"/>
                <w:szCs w:val="20"/>
                <w:u w:val="none"/>
                <w:lang w:val="en-US" w:eastAsia="zh-CN" w:bidi="ar"/>
              </w:rPr>
            </w:pPr>
            <w:r>
              <w:rPr>
                <w:rFonts w:hint="eastAsia" w:ascii="仿宋_GB2312" w:hAnsi="仿宋_GB2312" w:eastAsia="仿宋_GB2312" w:cs="仿宋_GB2312"/>
                <w:i w:val="0"/>
                <w:iCs w:val="0"/>
                <w:color w:val="000000"/>
                <w:kern w:val="0"/>
                <w:sz w:val="20"/>
                <w:szCs w:val="20"/>
                <w:u w:val="none"/>
                <w:lang w:val="en-US" w:eastAsia="zh-CN" w:bidi="ar"/>
              </w:rPr>
              <w:t>总计不少于3所</w:t>
            </w:r>
          </w:p>
        </w:tc>
        <w:tc>
          <w:tcPr>
            <w:tcW w:w="1184" w:type="dxa"/>
            <w:vAlign w:val="center"/>
          </w:tcPr>
          <w:p>
            <w:pPr>
              <w:keepNext w:val="0"/>
              <w:keepLines w:val="0"/>
              <w:pageBreakBefore w:val="0"/>
              <w:kinsoku/>
              <w:wordWrap/>
              <w:overflowPunct/>
              <w:topLinePunct w:val="0"/>
              <w:autoSpaceDE/>
              <w:autoSpaceDN/>
              <w:bidi w:val="0"/>
              <w:adjustRightInd/>
              <w:snapToGrid w:val="0"/>
              <w:spacing w:line="240" w:lineRule="atLeast"/>
              <w:jc w:val="center"/>
              <w:rPr>
                <w:rFonts w:hint="eastAsia" w:ascii="仿宋_GB2312" w:hAnsi="仿宋_GB2312" w:eastAsia="仿宋_GB2312" w:cs="仿宋_GB2312"/>
                <w:i w:val="0"/>
                <w:iCs w:val="0"/>
                <w:color w:val="000000"/>
                <w:kern w:val="0"/>
                <w:sz w:val="20"/>
                <w:szCs w:val="20"/>
                <w:u w:val="none"/>
                <w:lang w:val="en-US" w:eastAsia="zh-CN" w:bidi="ar"/>
              </w:rPr>
            </w:pPr>
            <w:r>
              <w:rPr>
                <w:rFonts w:hint="eastAsia" w:ascii="仿宋_GB2312" w:hAnsi="仿宋_GB2312" w:eastAsia="仿宋_GB2312" w:cs="仿宋_GB2312"/>
                <w:i w:val="0"/>
                <w:iCs w:val="0"/>
                <w:color w:val="000000"/>
                <w:kern w:val="0"/>
                <w:sz w:val="20"/>
                <w:szCs w:val="20"/>
                <w:u w:val="none"/>
                <w:lang w:val="en-US" w:eastAsia="zh-CN" w:bidi="ar"/>
              </w:rPr>
              <w:t>/</w:t>
            </w:r>
          </w:p>
        </w:tc>
        <w:tc>
          <w:tcPr>
            <w:tcW w:w="1051"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Fonts w:hint="eastAsia" w:ascii="仿宋_GB2312" w:hAnsi="仿宋_GB2312" w:eastAsia="仿宋_GB2312" w:cs="仿宋_GB2312"/>
                <w:i w:val="0"/>
                <w:iCs w:val="0"/>
                <w:color w:val="000000"/>
                <w:kern w:val="0"/>
                <w:sz w:val="20"/>
                <w:szCs w:val="20"/>
                <w:u w:val="none"/>
                <w:lang w:val="en-US" w:eastAsia="zh-CN" w:bidi="ar"/>
              </w:rPr>
            </w:pPr>
            <w:r>
              <w:rPr>
                <w:rFonts w:hint="eastAsia" w:ascii="仿宋_GB2312" w:hAnsi="仿宋_GB2312" w:eastAsia="仿宋_GB2312" w:cs="仿宋_GB2312"/>
                <w:i w:val="0"/>
                <w:iCs w:val="0"/>
                <w:color w:val="000000"/>
                <w:kern w:val="0"/>
                <w:sz w:val="20"/>
                <w:szCs w:val="20"/>
                <w:u w:val="none"/>
                <w:lang w:val="en-US" w:eastAsia="zh-CN" w:bidi="ar"/>
              </w:rPr>
              <w:t>成立大湾区数字经济研究中心</w:t>
            </w:r>
          </w:p>
        </w:tc>
        <w:tc>
          <w:tcPr>
            <w:tcW w:w="1129" w:type="dxa"/>
            <w:vAlign w:val="center"/>
          </w:tcPr>
          <w:p>
            <w:pPr>
              <w:keepNext w:val="0"/>
              <w:keepLines w:val="0"/>
              <w:pageBreakBefore w:val="0"/>
              <w:kinsoku/>
              <w:wordWrap/>
              <w:overflowPunct/>
              <w:topLinePunct w:val="0"/>
              <w:autoSpaceDE/>
              <w:autoSpaceDN/>
              <w:bidi w:val="0"/>
              <w:adjustRightInd/>
              <w:snapToGrid w:val="0"/>
              <w:spacing w:line="240" w:lineRule="atLeast"/>
              <w:jc w:val="center"/>
              <w:rPr>
                <w:rFonts w:hint="eastAsia" w:ascii="仿宋_GB2312" w:hAnsi="仿宋_GB2312" w:eastAsia="仿宋_GB2312" w:cs="仿宋_GB2312"/>
                <w:i w:val="0"/>
                <w:iCs w:val="0"/>
                <w:color w:val="000000"/>
                <w:kern w:val="0"/>
                <w:sz w:val="20"/>
                <w:szCs w:val="20"/>
                <w:u w:val="none"/>
                <w:lang w:val="en-US" w:eastAsia="zh-CN" w:bidi="ar"/>
              </w:rPr>
            </w:pPr>
            <w:r>
              <w:rPr>
                <w:rStyle w:val="10"/>
                <w:rFonts w:hint="eastAsia" w:ascii="仿宋_GB2312" w:hAnsi="仿宋_GB2312" w:eastAsia="仿宋_GB2312" w:cs="仿宋_GB2312"/>
                <w:sz w:val="20"/>
                <w:szCs w:val="20"/>
                <w:lang w:val="en-US" w:eastAsia="zh-CN" w:bidi="ar"/>
              </w:rPr>
              <w:t>/</w:t>
            </w:r>
          </w:p>
        </w:tc>
        <w:tc>
          <w:tcPr>
            <w:tcW w:w="881"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Fonts w:hint="eastAsia"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w:t>
            </w:r>
          </w:p>
        </w:tc>
        <w:tc>
          <w:tcPr>
            <w:tcW w:w="1257"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Fonts w:hint="default"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已成立1所</w:t>
            </w:r>
          </w:p>
        </w:tc>
        <w:tc>
          <w:tcPr>
            <w:tcW w:w="137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line="240" w:lineRule="atLeast"/>
              <w:ind w:left="0" w:leftChars="0" w:firstLine="0" w:firstLineChars="0"/>
              <w:jc w:val="center"/>
              <w:textAlignment w:val="auto"/>
              <w:rPr>
                <w:rFonts w:hint="eastAsia" w:ascii="仿宋_GB2312" w:hAnsi="仿宋_GB2312" w:eastAsia="仿宋_GB2312" w:cs="仿宋_GB2312"/>
                <w:b/>
                <w:bCs/>
                <w:sz w:val="20"/>
                <w:szCs w:val="20"/>
                <w:vertAlign w:val="baseline"/>
                <w:lang w:val="en-US" w:eastAsia="zh-CN"/>
              </w:rPr>
            </w:pPr>
            <w:r>
              <w:rPr>
                <w:rFonts w:hint="eastAsia" w:ascii="仿宋_GB2312" w:hAnsi="仿宋_GB2312" w:eastAsia="仿宋_GB2312" w:cs="仿宋_GB2312"/>
                <w:b/>
                <w:bCs/>
                <w:sz w:val="20"/>
                <w:szCs w:val="20"/>
                <w:vertAlign w:val="baseline"/>
                <w:lang w:val="en-US" w:eastAsia="zh-CN"/>
              </w:rPr>
              <w:t>完成度33%</w:t>
            </w:r>
          </w:p>
          <w:p>
            <w:pPr>
              <w:keepNext w:val="0"/>
              <w:keepLines w:val="0"/>
              <w:pageBreakBefore w:val="0"/>
              <w:widowControl w:val="0"/>
              <w:numPr>
                <w:ilvl w:val="0"/>
                <w:numId w:val="0"/>
              </w:numPr>
              <w:kinsoku/>
              <w:wordWrap/>
              <w:overflowPunct/>
              <w:topLinePunct w:val="0"/>
              <w:autoSpaceDE/>
              <w:autoSpaceDN/>
              <w:bidi w:val="0"/>
              <w:adjustRightInd/>
              <w:snapToGrid w:val="0"/>
              <w:spacing w:line="240" w:lineRule="atLeast"/>
              <w:ind w:left="0" w:leftChars="0" w:firstLine="0" w:firstLineChars="0"/>
              <w:jc w:val="center"/>
              <w:textAlignment w:val="auto"/>
              <w:rPr>
                <w:rFonts w:hint="default" w:ascii="仿宋_GB2312" w:hAnsi="仿宋_GB2312" w:eastAsia="仿宋_GB2312" w:cs="仿宋_GB2312"/>
                <w:sz w:val="20"/>
                <w:szCs w:val="20"/>
                <w:vertAlign w:val="baseline"/>
                <w:lang w:val="en-US" w:eastAsia="zh-CN"/>
              </w:rPr>
            </w:pPr>
            <w:r>
              <w:rPr>
                <w:rFonts w:hint="eastAsia" w:ascii="仿宋_GB2312" w:hAnsi="仿宋_GB2312" w:eastAsia="仿宋_GB2312" w:cs="仿宋_GB2312"/>
                <w:b/>
                <w:bCs/>
                <w:sz w:val="20"/>
                <w:szCs w:val="20"/>
                <w:vertAlign w:val="baseline"/>
                <w:lang w:val="en-US" w:eastAsia="zh-CN"/>
              </w:rPr>
              <w:t>追赶进度中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95" w:hRule="atLeast"/>
          <w:jc w:val="center"/>
        </w:trPr>
        <w:tc>
          <w:tcPr>
            <w:tcW w:w="986" w:type="dxa"/>
            <w:vMerge w:val="restart"/>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Fonts w:hint="eastAsia" w:ascii="仿宋_GB2312" w:hAnsi="仿宋_GB2312" w:eastAsia="仿宋_GB2312" w:cs="仿宋_GB2312"/>
                <w:b/>
                <w:bCs/>
                <w:sz w:val="20"/>
                <w:szCs w:val="20"/>
                <w:vertAlign w:val="baseline"/>
                <w:lang w:val="en-US"/>
              </w:rPr>
            </w:pPr>
            <w:r>
              <w:rPr>
                <w:rFonts w:hint="eastAsia" w:ascii="仿宋_GB2312" w:hAnsi="仿宋_GB2312" w:eastAsia="仿宋_GB2312" w:cs="仿宋_GB2312"/>
                <w:b/>
                <w:bCs/>
                <w:i w:val="0"/>
                <w:iCs w:val="0"/>
                <w:color w:val="000000"/>
                <w:kern w:val="0"/>
                <w:sz w:val="20"/>
                <w:szCs w:val="20"/>
                <w:u w:val="none"/>
                <w:lang w:val="en-US" w:eastAsia="zh-CN" w:bidi="ar"/>
              </w:rPr>
              <w:t>创业大赛与交流活动组织</w:t>
            </w:r>
          </w:p>
        </w:tc>
        <w:tc>
          <w:tcPr>
            <w:tcW w:w="1678"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Fonts w:hint="eastAsia" w:ascii="仿宋_GB2312" w:hAnsi="仿宋_GB2312" w:eastAsia="仿宋_GB2312" w:cs="仿宋_GB2312"/>
                <w:sz w:val="20"/>
                <w:szCs w:val="20"/>
                <w:vertAlign w:val="baseline"/>
              </w:rPr>
            </w:pPr>
            <w:r>
              <w:rPr>
                <w:rFonts w:hint="eastAsia" w:ascii="仿宋_GB2312" w:hAnsi="仿宋_GB2312" w:eastAsia="仿宋_GB2312" w:cs="仿宋_GB2312"/>
                <w:i w:val="0"/>
                <w:iCs w:val="0"/>
                <w:color w:val="000000"/>
                <w:kern w:val="0"/>
                <w:sz w:val="20"/>
                <w:szCs w:val="20"/>
                <w:u w:val="none"/>
                <w:lang w:val="en-US" w:eastAsia="zh-CN" w:bidi="ar"/>
              </w:rPr>
              <w:t>每年组织X-lab三创相关大型创业大赛1次</w:t>
            </w:r>
          </w:p>
        </w:tc>
        <w:tc>
          <w:tcPr>
            <w:tcW w:w="1184"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Fonts w:hint="eastAsia" w:ascii="仿宋_GB2312" w:hAnsi="仿宋_GB2312" w:eastAsia="仿宋_GB2312" w:cs="仿宋_GB2312"/>
                <w:sz w:val="20"/>
                <w:szCs w:val="20"/>
                <w:vertAlign w:val="baseline"/>
                <w:lang w:val="en-US"/>
              </w:rPr>
            </w:pPr>
            <w:r>
              <w:rPr>
                <w:rFonts w:hint="eastAsia" w:ascii="仿宋_GB2312" w:hAnsi="仿宋_GB2312" w:eastAsia="仿宋_GB2312" w:cs="仿宋_GB2312"/>
                <w:i w:val="0"/>
                <w:iCs w:val="0"/>
                <w:color w:val="000000"/>
                <w:kern w:val="0"/>
                <w:sz w:val="20"/>
                <w:szCs w:val="20"/>
                <w:u w:val="none"/>
                <w:lang w:val="en-US" w:eastAsia="zh-CN" w:bidi="ar"/>
              </w:rPr>
              <w:t>1次</w:t>
            </w:r>
          </w:p>
        </w:tc>
        <w:tc>
          <w:tcPr>
            <w:tcW w:w="1051"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Fonts w:hint="eastAsia" w:ascii="仿宋_GB2312" w:hAnsi="仿宋_GB2312" w:eastAsia="仿宋_GB2312" w:cs="仿宋_GB2312"/>
                <w:sz w:val="20"/>
                <w:szCs w:val="20"/>
                <w:vertAlign w:val="baseline"/>
              </w:rPr>
            </w:pPr>
            <w:r>
              <w:rPr>
                <w:rFonts w:hint="eastAsia" w:ascii="仿宋_GB2312" w:hAnsi="仿宋_GB2312" w:eastAsia="仿宋_GB2312" w:cs="仿宋_GB2312"/>
                <w:i w:val="0"/>
                <w:iCs w:val="0"/>
                <w:color w:val="000000"/>
                <w:kern w:val="0"/>
                <w:sz w:val="20"/>
                <w:szCs w:val="20"/>
                <w:u w:val="none"/>
                <w:lang w:val="en-US" w:eastAsia="zh-CN" w:bidi="ar"/>
              </w:rPr>
              <w:t>1次</w:t>
            </w:r>
          </w:p>
        </w:tc>
        <w:tc>
          <w:tcPr>
            <w:tcW w:w="1129"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Fonts w:hint="eastAsia" w:ascii="仿宋_GB2312" w:hAnsi="仿宋_GB2312" w:eastAsia="仿宋_GB2312" w:cs="仿宋_GB2312"/>
                <w:sz w:val="20"/>
                <w:szCs w:val="20"/>
                <w:vertAlign w:val="baseline"/>
              </w:rPr>
            </w:pPr>
            <w:r>
              <w:rPr>
                <w:rFonts w:hint="eastAsia" w:ascii="仿宋_GB2312" w:hAnsi="仿宋_GB2312" w:eastAsia="仿宋_GB2312" w:cs="仿宋_GB2312"/>
                <w:i w:val="0"/>
                <w:iCs w:val="0"/>
                <w:color w:val="000000"/>
                <w:kern w:val="0"/>
                <w:sz w:val="20"/>
                <w:szCs w:val="20"/>
                <w:u w:val="none"/>
                <w:lang w:val="en-US" w:eastAsia="zh-CN" w:bidi="ar"/>
              </w:rPr>
              <w:t>4次</w:t>
            </w:r>
          </w:p>
        </w:tc>
        <w:tc>
          <w:tcPr>
            <w:tcW w:w="881" w:type="dxa"/>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line="240" w:lineRule="atLeast"/>
              <w:jc w:val="center"/>
              <w:textAlignment w:val="auto"/>
              <w:rPr>
                <w:rFonts w:hint="eastAsia" w:ascii="仿宋_GB2312" w:hAnsi="仿宋_GB2312" w:eastAsia="仿宋_GB2312" w:cs="仿宋_GB2312"/>
                <w:sz w:val="20"/>
                <w:szCs w:val="20"/>
                <w:vertAlign w:val="baseline"/>
              </w:rPr>
            </w:pPr>
            <w:r>
              <w:rPr>
                <w:rFonts w:hint="eastAsia" w:ascii="仿宋_GB2312" w:hAnsi="仿宋_GB2312" w:eastAsia="仿宋_GB2312" w:cs="仿宋_GB2312"/>
                <w:i w:val="0"/>
                <w:iCs w:val="0"/>
                <w:color w:val="000000"/>
                <w:kern w:val="0"/>
                <w:sz w:val="20"/>
                <w:szCs w:val="20"/>
                <w:u w:val="none"/>
                <w:lang w:val="en-US" w:eastAsia="zh-CN" w:bidi="ar"/>
              </w:rPr>
              <w:t>3次</w:t>
            </w:r>
          </w:p>
        </w:tc>
        <w:tc>
          <w:tcPr>
            <w:tcW w:w="125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line="240" w:lineRule="atLeast"/>
              <w:jc w:val="center"/>
              <w:textAlignment w:val="auto"/>
              <w:rPr>
                <w:rFonts w:hint="default" w:ascii="仿宋_GB2312" w:hAnsi="仿宋_GB2312" w:eastAsia="仿宋_GB2312" w:cs="仿宋_GB2312"/>
                <w:i w:val="0"/>
                <w:iCs w:val="0"/>
                <w:color w:val="000000"/>
                <w:kern w:val="0"/>
                <w:sz w:val="20"/>
                <w:szCs w:val="20"/>
                <w:u w:val="none"/>
                <w:lang w:val="en-US" w:eastAsia="zh-CN" w:bidi="ar"/>
              </w:rPr>
            </w:pPr>
            <w:r>
              <w:rPr>
                <w:rFonts w:hint="eastAsia" w:ascii="仿宋_GB2312" w:hAnsi="仿宋_GB2312" w:eastAsia="仿宋_GB2312" w:cs="仿宋_GB2312"/>
                <w:i w:val="0"/>
                <w:iCs w:val="0"/>
                <w:color w:val="000000"/>
                <w:kern w:val="0"/>
                <w:sz w:val="20"/>
                <w:szCs w:val="20"/>
                <w:u w:val="none"/>
                <w:lang w:val="en-US" w:eastAsia="zh-CN" w:bidi="ar"/>
              </w:rPr>
              <w:t>9次</w:t>
            </w:r>
          </w:p>
        </w:tc>
        <w:tc>
          <w:tcPr>
            <w:tcW w:w="137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line="240" w:lineRule="atLeast"/>
              <w:jc w:val="center"/>
              <w:textAlignment w:val="auto"/>
              <w:rPr>
                <w:rFonts w:hint="eastAsia"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超出预期</w:t>
            </w:r>
          </w:p>
          <w:p>
            <w:pPr>
              <w:keepNext w:val="0"/>
              <w:keepLines w:val="0"/>
              <w:pageBreakBefore w:val="0"/>
              <w:widowControl w:val="0"/>
              <w:numPr>
                <w:ilvl w:val="0"/>
                <w:numId w:val="0"/>
              </w:numPr>
              <w:kinsoku/>
              <w:wordWrap/>
              <w:overflowPunct/>
              <w:topLinePunct w:val="0"/>
              <w:autoSpaceDE/>
              <w:autoSpaceDN/>
              <w:bidi w:val="0"/>
              <w:adjustRightInd/>
              <w:snapToGrid w:val="0"/>
              <w:spacing w:line="240" w:lineRule="atLeast"/>
              <w:jc w:val="center"/>
              <w:textAlignment w:val="auto"/>
              <w:rPr>
                <w:rFonts w:hint="eastAsia"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已完成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55" w:hRule="atLeast"/>
          <w:jc w:val="center"/>
        </w:trPr>
        <w:tc>
          <w:tcPr>
            <w:tcW w:w="986" w:type="dxa"/>
            <w:vMerge w:val="continue"/>
            <w:vAlign w:val="center"/>
          </w:tcPr>
          <w:p>
            <w:pPr>
              <w:keepNext w:val="0"/>
              <w:keepLines w:val="0"/>
              <w:pageBreakBefore w:val="0"/>
              <w:widowControl w:val="0"/>
              <w:kinsoku/>
              <w:wordWrap/>
              <w:overflowPunct/>
              <w:topLinePunct w:val="0"/>
              <w:autoSpaceDE/>
              <w:autoSpaceDN/>
              <w:bidi w:val="0"/>
              <w:adjustRightInd/>
              <w:snapToGrid w:val="0"/>
              <w:spacing w:line="240" w:lineRule="atLeast"/>
              <w:jc w:val="center"/>
              <w:textAlignment w:val="auto"/>
              <w:rPr>
                <w:rFonts w:hint="eastAsia" w:ascii="仿宋_GB2312" w:hAnsi="仿宋_GB2312" w:eastAsia="仿宋_GB2312" w:cs="仿宋_GB2312"/>
                <w:sz w:val="20"/>
                <w:szCs w:val="20"/>
              </w:rPr>
            </w:pPr>
          </w:p>
        </w:tc>
        <w:tc>
          <w:tcPr>
            <w:tcW w:w="1678" w:type="dxa"/>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line="240" w:lineRule="atLeast"/>
              <w:jc w:val="center"/>
              <w:textAlignment w:val="auto"/>
              <w:rPr>
                <w:rFonts w:hint="eastAsia" w:ascii="仿宋_GB2312" w:hAnsi="仿宋_GB2312" w:eastAsia="仿宋_GB2312" w:cs="仿宋_GB2312"/>
                <w:i w:val="0"/>
                <w:iCs w:val="0"/>
                <w:color w:val="000000"/>
                <w:kern w:val="0"/>
                <w:sz w:val="20"/>
                <w:szCs w:val="20"/>
                <w:u w:val="none"/>
                <w:lang w:val="en-US" w:eastAsia="zh-CN" w:bidi="ar"/>
              </w:rPr>
            </w:pPr>
            <w:r>
              <w:rPr>
                <w:rFonts w:hint="eastAsia" w:ascii="仿宋_GB2312" w:hAnsi="仿宋_GB2312" w:eastAsia="仿宋_GB2312" w:cs="仿宋_GB2312"/>
                <w:i w:val="0"/>
                <w:iCs w:val="0"/>
                <w:color w:val="000000"/>
                <w:kern w:val="0"/>
                <w:sz w:val="20"/>
                <w:szCs w:val="20"/>
                <w:u w:val="none"/>
                <w:lang w:val="en-US" w:eastAsia="zh-CN" w:bidi="ar"/>
              </w:rPr>
              <w:t>与X-lab相关各类交流活动每年不少于3次</w:t>
            </w:r>
          </w:p>
        </w:tc>
        <w:tc>
          <w:tcPr>
            <w:tcW w:w="1184" w:type="dxa"/>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line="240" w:lineRule="atLeast"/>
              <w:jc w:val="center"/>
              <w:textAlignment w:val="auto"/>
              <w:rPr>
                <w:rFonts w:hint="eastAsia" w:ascii="仿宋_GB2312" w:hAnsi="仿宋_GB2312" w:eastAsia="仿宋_GB2312" w:cs="仿宋_GB2312"/>
                <w:i w:val="0"/>
                <w:iCs w:val="0"/>
                <w:color w:val="000000"/>
                <w:kern w:val="0"/>
                <w:sz w:val="20"/>
                <w:szCs w:val="20"/>
                <w:u w:val="none"/>
                <w:lang w:val="en-US" w:eastAsia="zh-CN" w:bidi="ar"/>
              </w:rPr>
            </w:pPr>
            <w:r>
              <w:rPr>
                <w:rFonts w:hint="eastAsia" w:ascii="仿宋_GB2312" w:hAnsi="仿宋_GB2312" w:eastAsia="仿宋_GB2312" w:cs="仿宋_GB2312"/>
                <w:i w:val="0"/>
                <w:iCs w:val="0"/>
                <w:color w:val="000000"/>
                <w:kern w:val="0"/>
                <w:sz w:val="20"/>
                <w:szCs w:val="20"/>
                <w:u w:val="none"/>
                <w:lang w:val="en-US" w:eastAsia="zh-CN" w:bidi="ar"/>
              </w:rPr>
              <w:t>2次</w:t>
            </w:r>
          </w:p>
        </w:tc>
        <w:tc>
          <w:tcPr>
            <w:tcW w:w="1051" w:type="dxa"/>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line="240" w:lineRule="atLeast"/>
              <w:jc w:val="center"/>
              <w:textAlignment w:val="auto"/>
              <w:rPr>
                <w:rFonts w:hint="eastAsia" w:ascii="仿宋_GB2312" w:hAnsi="仿宋_GB2312" w:eastAsia="仿宋_GB2312" w:cs="仿宋_GB2312"/>
                <w:i w:val="0"/>
                <w:iCs w:val="0"/>
                <w:color w:val="000000"/>
                <w:kern w:val="0"/>
                <w:sz w:val="20"/>
                <w:szCs w:val="20"/>
                <w:u w:val="none"/>
                <w:lang w:val="en-US" w:eastAsia="zh-CN" w:bidi="ar"/>
              </w:rPr>
            </w:pPr>
            <w:r>
              <w:rPr>
                <w:rFonts w:hint="eastAsia" w:ascii="仿宋_GB2312" w:hAnsi="仿宋_GB2312" w:eastAsia="仿宋_GB2312" w:cs="仿宋_GB2312"/>
                <w:i w:val="0"/>
                <w:iCs w:val="0"/>
                <w:color w:val="000000"/>
                <w:kern w:val="0"/>
                <w:sz w:val="20"/>
                <w:szCs w:val="20"/>
                <w:u w:val="none"/>
                <w:lang w:val="en-US" w:eastAsia="zh-CN" w:bidi="ar"/>
              </w:rPr>
              <w:t>4次</w:t>
            </w:r>
          </w:p>
        </w:tc>
        <w:tc>
          <w:tcPr>
            <w:tcW w:w="1129" w:type="dxa"/>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line="240" w:lineRule="atLeast"/>
              <w:jc w:val="center"/>
              <w:textAlignment w:val="auto"/>
              <w:rPr>
                <w:rFonts w:hint="eastAsia" w:ascii="仿宋_GB2312" w:hAnsi="仿宋_GB2312" w:eastAsia="仿宋_GB2312" w:cs="仿宋_GB2312"/>
                <w:i w:val="0"/>
                <w:iCs w:val="0"/>
                <w:color w:val="000000"/>
                <w:kern w:val="0"/>
                <w:sz w:val="20"/>
                <w:szCs w:val="20"/>
                <w:u w:val="none"/>
                <w:lang w:val="en-US" w:eastAsia="zh-CN" w:bidi="ar"/>
              </w:rPr>
            </w:pPr>
            <w:r>
              <w:rPr>
                <w:rFonts w:hint="eastAsia" w:ascii="仿宋_GB2312" w:hAnsi="仿宋_GB2312" w:eastAsia="仿宋_GB2312" w:cs="仿宋_GB2312"/>
                <w:i w:val="0"/>
                <w:iCs w:val="0"/>
                <w:color w:val="000000"/>
                <w:kern w:val="0"/>
                <w:sz w:val="20"/>
                <w:szCs w:val="20"/>
                <w:u w:val="none"/>
                <w:lang w:val="en-US" w:eastAsia="zh-CN" w:bidi="ar"/>
              </w:rPr>
              <w:t>8次</w:t>
            </w:r>
          </w:p>
        </w:tc>
        <w:tc>
          <w:tcPr>
            <w:tcW w:w="881" w:type="dxa"/>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line="240" w:lineRule="atLeast"/>
              <w:jc w:val="center"/>
              <w:textAlignment w:val="auto"/>
              <w:rPr>
                <w:rFonts w:hint="eastAsia" w:ascii="仿宋_GB2312" w:hAnsi="仿宋_GB2312" w:eastAsia="仿宋_GB2312" w:cs="仿宋_GB2312"/>
                <w:i w:val="0"/>
                <w:iCs w:val="0"/>
                <w:color w:val="000000"/>
                <w:kern w:val="0"/>
                <w:sz w:val="20"/>
                <w:szCs w:val="20"/>
                <w:u w:val="none"/>
                <w:lang w:val="en-US" w:eastAsia="zh-CN" w:bidi="ar"/>
              </w:rPr>
            </w:pPr>
            <w:r>
              <w:rPr>
                <w:rFonts w:hint="eastAsia" w:ascii="仿宋_GB2312" w:hAnsi="仿宋_GB2312" w:eastAsia="仿宋_GB2312" w:cs="仿宋_GB2312"/>
                <w:i w:val="0"/>
                <w:iCs w:val="0"/>
                <w:color w:val="000000"/>
                <w:kern w:val="0"/>
                <w:sz w:val="20"/>
                <w:szCs w:val="20"/>
                <w:u w:val="none"/>
                <w:lang w:val="en-US" w:eastAsia="zh-CN" w:bidi="ar"/>
              </w:rPr>
              <w:t>14次</w:t>
            </w:r>
          </w:p>
        </w:tc>
        <w:tc>
          <w:tcPr>
            <w:tcW w:w="125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line="240" w:lineRule="atLeast"/>
              <w:jc w:val="center"/>
              <w:textAlignment w:val="auto"/>
              <w:rPr>
                <w:rFonts w:hint="default" w:ascii="仿宋_GB2312" w:hAnsi="仿宋_GB2312" w:eastAsia="仿宋_GB2312" w:cs="仿宋_GB2312"/>
                <w:i w:val="0"/>
                <w:iCs w:val="0"/>
                <w:color w:val="000000"/>
                <w:kern w:val="0"/>
                <w:sz w:val="20"/>
                <w:szCs w:val="20"/>
                <w:u w:val="none"/>
                <w:lang w:val="en-US" w:eastAsia="zh-CN" w:bidi="ar"/>
              </w:rPr>
            </w:pPr>
            <w:r>
              <w:rPr>
                <w:rFonts w:hint="eastAsia" w:ascii="仿宋_GB2312" w:hAnsi="仿宋_GB2312" w:eastAsia="仿宋_GB2312" w:cs="仿宋_GB2312"/>
                <w:i w:val="0"/>
                <w:iCs w:val="0"/>
                <w:color w:val="000000"/>
                <w:kern w:val="0"/>
                <w:sz w:val="20"/>
                <w:szCs w:val="20"/>
                <w:u w:val="none"/>
                <w:lang w:val="en-US" w:eastAsia="zh-CN" w:bidi="ar"/>
              </w:rPr>
              <w:t>28次</w:t>
            </w:r>
          </w:p>
        </w:tc>
        <w:tc>
          <w:tcPr>
            <w:tcW w:w="137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line="240" w:lineRule="atLeast"/>
              <w:jc w:val="center"/>
              <w:textAlignment w:val="auto"/>
              <w:rPr>
                <w:rFonts w:hint="eastAsia" w:ascii="仿宋_GB2312" w:hAnsi="仿宋_GB2312" w:eastAsia="仿宋_GB2312" w:cs="仿宋_GB2312"/>
                <w:sz w:val="20"/>
                <w:szCs w:val="20"/>
                <w:vertAlign w:val="baseline"/>
                <w:lang w:val="en-US" w:eastAsia="zh-CN"/>
              </w:rPr>
            </w:pPr>
            <w:r>
              <w:rPr>
                <w:rFonts w:hint="eastAsia" w:ascii="仿宋_GB2312" w:hAnsi="仿宋_GB2312" w:eastAsia="仿宋_GB2312" w:cs="仿宋_GB2312"/>
                <w:sz w:val="20"/>
                <w:szCs w:val="20"/>
                <w:vertAlign w:val="baseline"/>
                <w:lang w:val="en-US" w:eastAsia="zh-CN"/>
              </w:rPr>
              <w:t>超出预期</w:t>
            </w:r>
          </w:p>
          <w:p>
            <w:pPr>
              <w:keepNext w:val="0"/>
              <w:keepLines w:val="0"/>
              <w:pageBreakBefore w:val="0"/>
              <w:widowControl w:val="0"/>
              <w:numPr>
                <w:ilvl w:val="0"/>
                <w:numId w:val="0"/>
              </w:numPr>
              <w:kinsoku/>
              <w:wordWrap/>
              <w:overflowPunct/>
              <w:topLinePunct w:val="0"/>
              <w:autoSpaceDE/>
              <w:autoSpaceDN/>
              <w:bidi w:val="0"/>
              <w:adjustRightInd/>
              <w:snapToGrid w:val="0"/>
              <w:spacing w:line="240" w:lineRule="atLeast"/>
              <w:jc w:val="center"/>
              <w:textAlignment w:val="auto"/>
              <w:rPr>
                <w:rFonts w:hint="eastAsia" w:ascii="仿宋_GB2312" w:hAnsi="仿宋_GB2312" w:eastAsia="仿宋_GB2312" w:cs="仿宋_GB2312"/>
                <w:i w:val="0"/>
                <w:iCs w:val="0"/>
                <w:color w:val="000000"/>
                <w:kern w:val="0"/>
                <w:sz w:val="20"/>
                <w:szCs w:val="20"/>
                <w:u w:val="none"/>
                <w:lang w:val="en-US" w:eastAsia="zh-CN" w:bidi="ar"/>
              </w:rPr>
            </w:pPr>
            <w:r>
              <w:rPr>
                <w:rFonts w:hint="eastAsia" w:ascii="仿宋_GB2312" w:hAnsi="仿宋_GB2312" w:eastAsia="仿宋_GB2312" w:cs="仿宋_GB2312"/>
                <w:i w:val="0"/>
                <w:iCs w:val="0"/>
                <w:color w:val="000000"/>
                <w:kern w:val="0"/>
                <w:sz w:val="20"/>
                <w:szCs w:val="20"/>
                <w:u w:val="none"/>
                <w:lang w:val="en-US" w:eastAsia="zh-CN" w:bidi="ar"/>
              </w:rPr>
              <w:t>已完成</w:t>
            </w:r>
          </w:p>
        </w:tc>
      </w:tr>
    </w:tbl>
    <w:p>
      <w:pPr>
        <w:keepNext w:val="0"/>
        <w:keepLines w:val="0"/>
        <w:pageBreakBefore w:val="0"/>
        <w:widowControl w:val="0"/>
        <w:kinsoku/>
        <w:wordWrap/>
        <w:overflowPunct/>
        <w:topLinePunct w:val="0"/>
        <w:autoSpaceDE/>
        <w:autoSpaceDN/>
        <w:bidi w:val="0"/>
        <w:adjustRightInd/>
        <w:snapToGrid/>
        <w:spacing w:line="579" w:lineRule="exact"/>
        <w:ind w:firstLine="640" w:firstLineChars="200"/>
        <w:textAlignment w:val="auto"/>
        <w:rPr>
          <w:rFonts w:hint="eastAsia" w:ascii="黑体" w:hAnsi="黑体" w:eastAsia="黑体" w:cs="黑体"/>
          <w:sz w:val="32"/>
          <w:szCs w:val="32"/>
        </w:rPr>
      </w:pPr>
    </w:p>
    <w:p>
      <w:pPr>
        <w:keepNext w:val="0"/>
        <w:keepLines w:val="0"/>
        <w:pageBreakBefore w:val="0"/>
        <w:widowControl w:val="0"/>
        <w:kinsoku/>
        <w:wordWrap/>
        <w:overflowPunct/>
        <w:topLinePunct w:val="0"/>
        <w:autoSpaceDE/>
        <w:autoSpaceDN/>
        <w:bidi w:val="0"/>
        <w:adjustRightInd/>
        <w:snapToGrid/>
        <w:spacing w:line="579" w:lineRule="exact"/>
        <w:ind w:firstLine="640" w:firstLineChars="200"/>
        <w:textAlignment w:val="auto"/>
        <w:rPr>
          <w:rFonts w:ascii="黑体" w:hAnsi="黑体" w:eastAsia="黑体" w:cs="黑体"/>
          <w:sz w:val="32"/>
          <w:szCs w:val="32"/>
        </w:rPr>
      </w:pPr>
      <w:r>
        <w:rPr>
          <w:rFonts w:hint="eastAsia" w:ascii="黑体" w:hAnsi="黑体" w:eastAsia="黑体" w:cs="黑体"/>
          <w:sz w:val="32"/>
          <w:szCs w:val="32"/>
        </w:rPr>
        <w:t>二、深圳高等金融研究院相关情况</w:t>
      </w:r>
    </w:p>
    <w:p>
      <w:pPr>
        <w:keepNext w:val="0"/>
        <w:keepLines w:val="0"/>
        <w:pageBreakBefore w:val="0"/>
        <w:widowControl w:val="0"/>
        <w:kinsoku/>
        <w:wordWrap/>
        <w:overflowPunct/>
        <w:topLinePunct w:val="0"/>
        <w:autoSpaceDE/>
        <w:autoSpaceDN/>
        <w:bidi w:val="0"/>
        <w:adjustRightInd/>
        <w:snapToGrid/>
        <w:spacing w:line="579" w:lineRule="exact"/>
        <w:ind w:firstLine="640" w:firstLineChars="200"/>
        <w:textAlignment w:val="auto"/>
        <w:rPr>
          <w:rFonts w:ascii="楷体_GB2312" w:hAnsi="楷体_GB2312" w:eastAsia="楷体_GB2312" w:cs="楷体_GB2312"/>
          <w:sz w:val="32"/>
          <w:szCs w:val="32"/>
        </w:rPr>
      </w:pPr>
      <w:r>
        <w:rPr>
          <w:rFonts w:hint="eastAsia" w:ascii="楷体_GB2312" w:hAnsi="楷体_GB2312" w:eastAsia="楷体_GB2312" w:cs="楷体_GB2312"/>
          <w:sz w:val="32"/>
          <w:szCs w:val="32"/>
        </w:rPr>
        <w:t>（一）研究院总体发展情况</w:t>
      </w:r>
    </w:p>
    <w:p>
      <w:pPr>
        <w:keepNext w:val="0"/>
        <w:keepLines w:val="0"/>
        <w:pageBreakBefore w:val="0"/>
        <w:widowControl w:val="0"/>
        <w:kinsoku/>
        <w:wordWrap/>
        <w:overflowPunct/>
        <w:topLinePunct w:val="0"/>
        <w:autoSpaceDE/>
        <w:autoSpaceDN/>
        <w:bidi w:val="0"/>
        <w:adjustRightInd/>
        <w:snapToGrid/>
        <w:spacing w:line="579" w:lineRule="exact"/>
        <w:ind w:firstLine="640" w:firstLineChars="200"/>
        <w:jc w:val="left"/>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rPr>
        <w:t>研究院落户福田以来，高位求进，教学科研方面均呈现出良好发展态势</w:t>
      </w:r>
      <w:r>
        <w:rPr>
          <w:rFonts w:hint="eastAsia" w:ascii="仿宋_GB2312" w:hAnsi="仿宋_GB2312" w:eastAsia="仿宋_GB2312" w:cs="仿宋_GB2312"/>
          <w:b w:val="0"/>
          <w:bCs w:val="0"/>
          <w:sz w:val="32"/>
          <w:szCs w:val="32"/>
          <w:highlight w:val="none"/>
        </w:rPr>
        <w:t>。一是生源结构持续向好</w:t>
      </w:r>
      <w:r>
        <w:rPr>
          <w:rFonts w:hint="eastAsia" w:ascii="仿宋_GB2312" w:hAnsi="仿宋_GB2312" w:eastAsia="仿宋_GB2312" w:cs="仿宋_GB2312"/>
          <w:b w:val="0"/>
          <w:bCs w:val="0"/>
          <w:sz w:val="32"/>
          <w:szCs w:val="32"/>
          <w:highlight w:val="none"/>
          <w:lang w:eastAsia="zh-CN"/>
        </w:rPr>
        <w:t>。</w:t>
      </w:r>
      <w:r>
        <w:rPr>
          <w:rFonts w:hint="eastAsia" w:ascii="仿宋_GB2312" w:hAnsi="仿宋_GB2312" w:eastAsia="仿宋_GB2312" w:cs="仿宋_GB2312"/>
          <w:b w:val="0"/>
          <w:bCs w:val="0"/>
          <w:sz w:val="32"/>
          <w:szCs w:val="32"/>
          <w:lang w:eastAsia="zh-CN"/>
        </w:rPr>
        <w:t>着重创新拔尖人才培养，依托香港中文大学（深圳）稳步推进金融学、经济学、会计、市场学、信息管理与商业分析、管理学、金融</w:t>
      </w:r>
      <w:r>
        <w:rPr>
          <w:rFonts w:hint="eastAsia" w:ascii="仿宋_GB2312" w:hAnsi="仿宋_GB2312" w:eastAsia="仿宋_GB2312" w:cs="仿宋_GB2312"/>
          <w:b w:val="0"/>
          <w:bCs w:val="0"/>
          <w:sz w:val="32"/>
          <w:szCs w:val="32"/>
          <w:lang w:val="en-US" w:eastAsia="zh-CN"/>
        </w:rPr>
        <w:t>EMBA学位教育项目人才培养工作，2024年在校生达1704人，其中全日制1090人，兼读制614人</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b w:val="0"/>
          <w:bCs w:val="0"/>
          <w:sz w:val="32"/>
          <w:szCs w:val="32"/>
          <w:highlight w:val="none"/>
        </w:rPr>
        <w:t>二是高层次人才规模</w:t>
      </w:r>
      <w:r>
        <w:rPr>
          <w:rFonts w:hint="eastAsia" w:ascii="仿宋_GB2312" w:hAnsi="仿宋_GB2312" w:eastAsia="仿宋_GB2312" w:cs="仿宋_GB2312"/>
          <w:b w:val="0"/>
          <w:bCs w:val="0"/>
          <w:sz w:val="32"/>
          <w:szCs w:val="32"/>
          <w:highlight w:val="none"/>
          <w:lang w:eastAsia="zh-CN"/>
        </w:rPr>
        <w:t>与师资力量</w:t>
      </w:r>
      <w:r>
        <w:rPr>
          <w:rFonts w:hint="eastAsia" w:ascii="仿宋_GB2312" w:hAnsi="仿宋_GB2312" w:eastAsia="仿宋_GB2312" w:cs="仿宋_GB2312"/>
          <w:b w:val="0"/>
          <w:bCs w:val="0"/>
          <w:sz w:val="32"/>
          <w:szCs w:val="32"/>
          <w:highlight w:val="none"/>
        </w:rPr>
        <w:t>不断壮大。2</w:t>
      </w:r>
      <w:r>
        <w:rPr>
          <w:rFonts w:hint="eastAsia" w:ascii="仿宋_GB2312" w:hAnsi="仿宋_GB2312" w:eastAsia="仿宋_GB2312" w:cs="仿宋_GB2312"/>
          <w:b w:val="0"/>
          <w:bCs w:val="0"/>
          <w:sz w:val="32"/>
          <w:szCs w:val="32"/>
        </w:rPr>
        <w:t>02</w:t>
      </w:r>
      <w:r>
        <w:rPr>
          <w:rFonts w:hint="eastAsia" w:ascii="仿宋_GB2312" w:hAnsi="仿宋_GB2312" w:eastAsia="仿宋_GB2312" w:cs="仿宋_GB2312"/>
          <w:b w:val="0"/>
          <w:bCs w:val="0"/>
          <w:sz w:val="32"/>
          <w:szCs w:val="32"/>
          <w:lang w:val="en-US" w:eastAsia="zh-CN"/>
        </w:rPr>
        <w:t>4</w:t>
      </w:r>
      <w:r>
        <w:rPr>
          <w:rFonts w:hint="eastAsia" w:ascii="仿宋_GB2312" w:hAnsi="仿宋_GB2312" w:eastAsia="仿宋_GB2312" w:cs="仿宋_GB2312"/>
          <w:b w:val="0"/>
          <w:bCs w:val="0"/>
          <w:sz w:val="32"/>
          <w:szCs w:val="32"/>
        </w:rPr>
        <w:t>年引进</w:t>
      </w:r>
      <w:r>
        <w:rPr>
          <w:rFonts w:hint="eastAsia" w:ascii="仿宋_GB2312" w:hAnsi="仿宋_GB2312" w:eastAsia="仿宋_GB2312" w:cs="仿宋_GB2312"/>
          <w:b w:val="0"/>
          <w:bCs w:val="0"/>
          <w:sz w:val="32"/>
          <w:szCs w:val="32"/>
          <w:lang w:eastAsia="zh-CN"/>
        </w:rPr>
        <w:t>高层次专业人才</w:t>
      </w:r>
      <w:r>
        <w:rPr>
          <w:rFonts w:hint="eastAsia" w:ascii="仿宋_GB2312" w:hAnsi="仿宋_GB2312" w:eastAsia="仿宋_GB2312" w:cs="仿宋_GB2312"/>
          <w:b w:val="0"/>
          <w:bCs w:val="0"/>
          <w:sz w:val="32"/>
          <w:szCs w:val="32"/>
          <w:lang w:val="en-US" w:eastAsia="zh-CN"/>
        </w:rPr>
        <w:t>10</w:t>
      </w:r>
      <w:r>
        <w:rPr>
          <w:rFonts w:hint="eastAsia" w:ascii="仿宋_GB2312" w:hAnsi="仿宋_GB2312" w:eastAsia="仿宋_GB2312" w:cs="仿宋_GB2312"/>
          <w:b w:val="0"/>
          <w:bCs w:val="0"/>
          <w:sz w:val="32"/>
          <w:szCs w:val="32"/>
          <w:lang w:eastAsia="zh-CN"/>
        </w:rPr>
        <w:t>位，累计引进</w:t>
      </w:r>
      <w:r>
        <w:rPr>
          <w:rFonts w:hint="eastAsia" w:ascii="仿宋_GB2312" w:hAnsi="仿宋_GB2312" w:eastAsia="仿宋_GB2312" w:cs="仿宋_GB2312"/>
          <w:b w:val="0"/>
          <w:bCs w:val="0"/>
          <w:sz w:val="32"/>
          <w:szCs w:val="32"/>
          <w:lang w:val="en-US" w:eastAsia="zh-CN"/>
        </w:rPr>
        <w:t>37位；独立及联合香港中文大学（深圳）共引进233位来自海内外顶尖高校的学术研究员</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b w:val="0"/>
          <w:bCs w:val="0"/>
          <w:sz w:val="32"/>
          <w:szCs w:val="32"/>
          <w:highlight w:val="none"/>
        </w:rPr>
        <w:t>三是学科荣誉又添新绩。</w:t>
      </w:r>
      <w:r>
        <w:rPr>
          <w:rFonts w:hint="eastAsia" w:ascii="仿宋_GB2312" w:hAnsi="仿宋_GB2312" w:eastAsia="仿宋_GB2312" w:cs="仿宋_GB2312"/>
          <w:b w:val="0"/>
          <w:bCs w:val="0"/>
          <w:sz w:val="32"/>
          <w:szCs w:val="32"/>
        </w:rPr>
        <w:t>数据科学理学硕士项目QS排名中国第1，</w:t>
      </w:r>
      <w:r>
        <w:rPr>
          <w:rFonts w:hint="eastAsia" w:ascii="仿宋_GB2312" w:hAnsi="仿宋_GB2312" w:eastAsia="仿宋_GB2312" w:cs="仿宋_GB2312"/>
          <w:b w:val="0"/>
          <w:bCs w:val="0"/>
          <w:sz w:val="32"/>
          <w:szCs w:val="32"/>
          <w:lang w:eastAsia="zh-CN"/>
        </w:rPr>
        <w:t>全球第</w:t>
      </w:r>
      <w:r>
        <w:rPr>
          <w:rFonts w:hint="eastAsia" w:ascii="仿宋_GB2312" w:hAnsi="仿宋_GB2312" w:eastAsia="仿宋_GB2312" w:cs="仿宋_GB2312"/>
          <w:b w:val="0"/>
          <w:bCs w:val="0"/>
          <w:sz w:val="32"/>
          <w:szCs w:val="32"/>
          <w:lang w:val="en-US" w:eastAsia="zh-CN"/>
        </w:rPr>
        <w:t>36，其中“就业能力”单项指标取得亚洲第1；管理学理学硕士MBM项目荣获中外合作商科硕士项目第1。</w:t>
      </w:r>
      <w:r>
        <w:rPr>
          <w:rFonts w:hint="eastAsia" w:ascii="仿宋_GB2312" w:hAnsi="仿宋_GB2312" w:eastAsia="仿宋_GB2312" w:cs="仿宋_GB2312"/>
          <w:b w:val="0"/>
          <w:bCs w:val="0"/>
          <w:sz w:val="32"/>
          <w:szCs w:val="32"/>
        </w:rPr>
        <w:t>多名教授</w:t>
      </w:r>
      <w:r>
        <w:rPr>
          <w:rFonts w:hint="eastAsia" w:ascii="仿宋_GB2312" w:hAnsi="仿宋_GB2312" w:eastAsia="仿宋_GB2312" w:cs="仿宋_GB2312"/>
          <w:b w:val="0"/>
          <w:bCs w:val="0"/>
          <w:sz w:val="32"/>
          <w:szCs w:val="32"/>
          <w:lang w:eastAsia="zh-CN"/>
        </w:rPr>
        <w:t>荣获各类</w:t>
      </w:r>
      <w:r>
        <w:rPr>
          <w:rFonts w:hint="eastAsia" w:ascii="仿宋_GB2312" w:hAnsi="仿宋_GB2312" w:eastAsia="仿宋_GB2312" w:cs="仿宋_GB2312"/>
          <w:b w:val="0"/>
          <w:bCs w:val="0"/>
          <w:sz w:val="32"/>
          <w:szCs w:val="32"/>
        </w:rPr>
        <w:t>奖项及表彰</w:t>
      </w:r>
      <w:r>
        <w:rPr>
          <w:rFonts w:hint="eastAsia" w:ascii="仿宋_GB2312" w:hAnsi="仿宋_GB2312" w:eastAsia="仿宋_GB2312" w:cs="仿宋_GB2312"/>
          <w:b w:val="0"/>
          <w:bCs w:val="0"/>
          <w:sz w:val="32"/>
          <w:szCs w:val="32"/>
          <w:highlight w:val="none"/>
        </w:rPr>
        <w:t>。四是</w:t>
      </w:r>
      <w:r>
        <w:rPr>
          <w:rFonts w:hint="eastAsia" w:ascii="仿宋_GB2312" w:hAnsi="仿宋_GB2312" w:eastAsia="仿宋_GB2312" w:cs="仿宋_GB2312"/>
          <w:b w:val="0"/>
          <w:bCs/>
          <w:sz w:val="32"/>
          <w:szCs w:val="32"/>
          <w:highlight w:val="none"/>
        </w:rPr>
        <w:t>金融智库</w:t>
      </w:r>
      <w:r>
        <w:rPr>
          <w:rFonts w:hint="eastAsia" w:ascii="仿宋_GB2312" w:hAnsi="仿宋_GB2312" w:eastAsia="仿宋_GB2312" w:cs="仿宋_GB2312"/>
          <w:b w:val="0"/>
          <w:bCs/>
          <w:sz w:val="32"/>
          <w:szCs w:val="32"/>
          <w:highlight w:val="none"/>
          <w:lang w:eastAsia="zh-CN"/>
        </w:rPr>
        <w:t>不断完善</w:t>
      </w:r>
      <w:r>
        <w:rPr>
          <w:rFonts w:hint="eastAsia" w:ascii="仿宋_GB2312" w:hAnsi="仿宋_GB2312" w:eastAsia="仿宋_GB2312" w:cs="仿宋_GB2312"/>
          <w:b/>
          <w:bCs w:val="0"/>
          <w:sz w:val="32"/>
          <w:szCs w:val="32"/>
          <w:highlight w:val="none"/>
        </w:rPr>
        <w:t>。</w:t>
      </w:r>
      <w:r>
        <w:rPr>
          <w:rFonts w:hint="eastAsia" w:ascii="仿宋_GB2312" w:hAnsi="仿宋_GB2312" w:eastAsia="仿宋_GB2312" w:cs="仿宋_GB2312"/>
          <w:sz w:val="32"/>
          <w:szCs w:val="32"/>
          <w:highlight w:val="none"/>
          <w:lang w:val="en-US" w:eastAsia="zh-CN"/>
        </w:rPr>
        <w:t>2024年组织和参与组织各类学术交流活动62场，联合香港中文大学（深圳）在国际著名期刊发表论文53篇。</w:t>
      </w:r>
    </w:p>
    <w:p>
      <w:pPr>
        <w:keepNext w:val="0"/>
        <w:keepLines w:val="0"/>
        <w:pageBreakBefore w:val="0"/>
        <w:widowControl w:val="0"/>
        <w:kinsoku/>
        <w:wordWrap/>
        <w:overflowPunct/>
        <w:topLinePunct w:val="0"/>
        <w:autoSpaceDE/>
        <w:autoSpaceDN/>
        <w:bidi w:val="0"/>
        <w:adjustRightInd/>
        <w:snapToGrid/>
        <w:spacing w:line="579" w:lineRule="exact"/>
        <w:ind w:firstLine="640" w:firstLineChars="200"/>
        <w:textAlignment w:val="auto"/>
        <w:rPr>
          <w:rFonts w:ascii="楷体_GB2312" w:hAnsi="楷体_GB2312" w:eastAsia="楷体_GB2312" w:cs="楷体_GB2312"/>
          <w:sz w:val="32"/>
          <w:szCs w:val="32"/>
        </w:rPr>
      </w:pPr>
      <w:r>
        <w:rPr>
          <w:rFonts w:hint="eastAsia" w:ascii="楷体_GB2312" w:hAnsi="楷体_GB2312" w:eastAsia="楷体_GB2312" w:cs="楷体_GB2312"/>
          <w:sz w:val="32"/>
          <w:szCs w:val="32"/>
        </w:rPr>
        <w:t>（二）议定事项完成情况</w:t>
      </w:r>
    </w:p>
    <w:p>
      <w:pPr>
        <w:keepNext w:val="0"/>
        <w:keepLines w:val="0"/>
        <w:pageBreakBefore w:val="0"/>
        <w:widowControl w:val="0"/>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经审核，深圳高等金融研究院按协议</w:t>
      </w:r>
      <w:r>
        <w:rPr>
          <w:rFonts w:hint="eastAsia" w:ascii="仿宋_GB2312" w:hAnsi="仿宋_GB2312" w:eastAsia="仿宋_GB2312" w:cs="仿宋_GB2312"/>
          <w:sz w:val="32"/>
          <w:szCs w:val="32"/>
          <w:lang w:eastAsia="zh-CN"/>
        </w:rPr>
        <w:t>，较好</w:t>
      </w:r>
      <w:r>
        <w:rPr>
          <w:rFonts w:hint="eastAsia" w:ascii="仿宋_GB2312" w:hAnsi="仿宋_GB2312" w:eastAsia="仿宋_GB2312" w:cs="仿宋_GB2312"/>
          <w:sz w:val="32"/>
          <w:szCs w:val="32"/>
        </w:rPr>
        <w:t>完成202</w:t>
      </w:r>
      <w:r>
        <w:rPr>
          <w:rFonts w:hint="eastAsia" w:ascii="仿宋_GB2312" w:hAnsi="仿宋_GB2312" w:eastAsia="仿宋_GB2312" w:cs="仿宋_GB2312"/>
          <w:sz w:val="32"/>
          <w:szCs w:val="32"/>
          <w:lang w:val="en-US" w:eastAsia="zh-CN"/>
        </w:rPr>
        <w:t>4</w:t>
      </w:r>
      <w:r>
        <w:rPr>
          <w:rFonts w:hint="eastAsia" w:ascii="仿宋_GB2312" w:hAnsi="仿宋_GB2312" w:eastAsia="仿宋_GB2312" w:cs="仿宋_GB2312"/>
          <w:sz w:val="32"/>
          <w:szCs w:val="32"/>
        </w:rPr>
        <w:t>年议定事项（详见表2）。</w:t>
      </w:r>
    </w:p>
    <w:p>
      <w:pPr>
        <w:keepNext w:val="0"/>
        <w:keepLines w:val="0"/>
        <w:pageBreakBefore w:val="0"/>
        <w:widowControl w:val="0"/>
        <w:kinsoku/>
        <w:wordWrap/>
        <w:overflowPunct/>
        <w:topLinePunct w:val="0"/>
        <w:autoSpaceDE/>
        <w:autoSpaceDN/>
        <w:bidi w:val="0"/>
        <w:adjustRightInd/>
        <w:snapToGrid/>
        <w:spacing w:line="579" w:lineRule="exact"/>
        <w:jc w:val="center"/>
        <w:textAlignment w:val="auto"/>
        <w:rPr>
          <w:rFonts w:ascii="宋体" w:hAnsi="宋体" w:eastAsia="宋体" w:cs="宋体"/>
          <w:b/>
          <w:bCs/>
          <w:sz w:val="24"/>
        </w:rPr>
      </w:pPr>
      <w:r>
        <w:rPr>
          <w:rFonts w:hint="eastAsia" w:ascii="宋体" w:hAnsi="宋体" w:eastAsia="宋体" w:cs="宋体"/>
          <w:b/>
          <w:bCs/>
          <w:sz w:val="24"/>
        </w:rPr>
        <w:t>表2：深圳高等金融研究院议定事项完成情况一览表</w:t>
      </w:r>
    </w:p>
    <w:tbl>
      <w:tblPr>
        <w:tblStyle w:val="6"/>
        <w:tblpPr w:leftFromText="180" w:rightFromText="180" w:vertAnchor="text" w:horzAnchor="page" w:tblpX="1777" w:tblpY="272"/>
        <w:tblOverlap w:val="never"/>
        <w:tblW w:w="898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
        <w:gridCol w:w="2957"/>
        <w:gridCol w:w="2608"/>
        <w:gridCol w:w="26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line="240" w:lineRule="atLeast"/>
              <w:jc w:val="center"/>
              <w:textAlignment w:val="auto"/>
              <w:rPr>
                <w:rFonts w:hint="eastAsia" w:ascii="黑体" w:hAnsi="黑体" w:eastAsia="黑体" w:cs="黑体"/>
                <w:b w:val="0"/>
                <w:bCs w:val="0"/>
                <w:color w:val="auto"/>
                <w:sz w:val="24"/>
                <w:szCs w:val="24"/>
                <w:vertAlign w:val="baseline"/>
                <w:lang w:val="en-US" w:eastAsia="zh-CN"/>
              </w:rPr>
            </w:pPr>
            <w:r>
              <w:rPr>
                <w:rFonts w:hint="eastAsia" w:ascii="黑体" w:hAnsi="黑体" w:eastAsia="黑体" w:cs="黑体"/>
                <w:b w:val="0"/>
                <w:bCs w:val="0"/>
                <w:color w:val="auto"/>
                <w:sz w:val="24"/>
                <w:szCs w:val="24"/>
                <w:vertAlign w:val="baseline"/>
                <w:lang w:val="en-US" w:eastAsia="zh-CN"/>
              </w:rPr>
              <w:t>序号</w:t>
            </w:r>
          </w:p>
        </w:tc>
        <w:tc>
          <w:tcPr>
            <w:tcW w:w="295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line="240" w:lineRule="atLeast"/>
              <w:jc w:val="center"/>
              <w:textAlignment w:val="auto"/>
              <w:rPr>
                <w:rFonts w:hint="eastAsia" w:ascii="黑体" w:hAnsi="黑体" w:eastAsia="黑体" w:cs="黑体"/>
                <w:b w:val="0"/>
                <w:bCs w:val="0"/>
                <w:color w:val="auto"/>
                <w:sz w:val="24"/>
                <w:szCs w:val="24"/>
                <w:vertAlign w:val="baseline"/>
                <w:lang w:val="en-US" w:eastAsia="zh-CN"/>
              </w:rPr>
            </w:pPr>
            <w:r>
              <w:rPr>
                <w:rFonts w:hint="eastAsia" w:ascii="黑体" w:hAnsi="黑体" w:eastAsia="黑体" w:cs="黑体"/>
                <w:b w:val="0"/>
                <w:bCs w:val="0"/>
                <w:color w:val="auto"/>
                <w:sz w:val="24"/>
                <w:szCs w:val="24"/>
                <w:vertAlign w:val="baseline"/>
                <w:lang w:val="en-US" w:eastAsia="zh-CN"/>
              </w:rPr>
              <w:t>议定事项</w:t>
            </w:r>
          </w:p>
        </w:tc>
        <w:tc>
          <w:tcPr>
            <w:tcW w:w="2608" w:type="dxa"/>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line="240" w:lineRule="atLeast"/>
              <w:jc w:val="center"/>
              <w:textAlignment w:val="auto"/>
              <w:rPr>
                <w:rFonts w:hint="eastAsia" w:ascii="黑体" w:hAnsi="黑体" w:eastAsia="黑体" w:cs="黑体"/>
                <w:b w:val="0"/>
                <w:bCs w:val="0"/>
                <w:color w:val="auto"/>
                <w:sz w:val="24"/>
                <w:szCs w:val="24"/>
                <w:vertAlign w:val="baseline"/>
                <w:lang w:val="en-US" w:eastAsia="zh-CN"/>
              </w:rPr>
            </w:pPr>
            <w:r>
              <w:rPr>
                <w:rFonts w:hint="eastAsia" w:ascii="黑体" w:hAnsi="黑体" w:eastAsia="黑体" w:cs="黑体"/>
                <w:b w:val="0"/>
                <w:bCs w:val="0"/>
                <w:color w:val="auto"/>
                <w:sz w:val="24"/>
                <w:szCs w:val="24"/>
                <w:vertAlign w:val="baseline"/>
                <w:lang w:val="en-US" w:eastAsia="zh-CN"/>
              </w:rPr>
              <w:t>2024年完成情况</w:t>
            </w:r>
          </w:p>
        </w:tc>
        <w:tc>
          <w:tcPr>
            <w:tcW w:w="2693" w:type="dxa"/>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line="240" w:lineRule="atLeast"/>
              <w:jc w:val="center"/>
              <w:textAlignment w:val="auto"/>
              <w:rPr>
                <w:rFonts w:hint="eastAsia" w:ascii="黑体" w:hAnsi="黑体" w:eastAsia="黑体" w:cs="黑体"/>
                <w:b w:val="0"/>
                <w:bCs w:val="0"/>
                <w:color w:val="auto"/>
                <w:sz w:val="24"/>
                <w:szCs w:val="24"/>
                <w:vertAlign w:val="baseline"/>
                <w:lang w:val="en-US" w:eastAsia="zh-CN"/>
              </w:rPr>
            </w:pPr>
            <w:r>
              <w:rPr>
                <w:rFonts w:hint="eastAsia" w:ascii="黑体" w:hAnsi="黑体" w:eastAsia="黑体" w:cs="黑体"/>
                <w:b w:val="0"/>
                <w:bCs w:val="0"/>
                <w:color w:val="auto"/>
                <w:sz w:val="24"/>
                <w:szCs w:val="24"/>
                <w:vertAlign w:val="baseline"/>
                <w:lang w:val="en-US" w:eastAsia="zh-CN"/>
              </w:rPr>
              <w:t>自协议签署之日起</w:t>
            </w:r>
          </w:p>
          <w:p>
            <w:pPr>
              <w:keepNext w:val="0"/>
              <w:keepLines w:val="0"/>
              <w:pageBreakBefore w:val="0"/>
              <w:widowControl w:val="0"/>
              <w:numPr>
                <w:ilvl w:val="0"/>
                <w:numId w:val="0"/>
              </w:numPr>
              <w:kinsoku/>
              <w:wordWrap/>
              <w:overflowPunct/>
              <w:topLinePunct w:val="0"/>
              <w:autoSpaceDE/>
              <w:autoSpaceDN/>
              <w:bidi w:val="0"/>
              <w:adjustRightInd/>
              <w:snapToGrid w:val="0"/>
              <w:spacing w:line="240" w:lineRule="atLeast"/>
              <w:jc w:val="center"/>
              <w:textAlignment w:val="auto"/>
              <w:rPr>
                <w:rFonts w:hint="eastAsia" w:ascii="黑体" w:hAnsi="黑体" w:eastAsia="黑体" w:cs="黑体"/>
                <w:b w:val="0"/>
                <w:bCs w:val="0"/>
                <w:color w:val="auto"/>
                <w:sz w:val="24"/>
                <w:szCs w:val="24"/>
                <w:vertAlign w:val="baseline"/>
                <w:lang w:val="en-US" w:eastAsia="zh-CN"/>
              </w:rPr>
            </w:pPr>
            <w:r>
              <w:rPr>
                <w:rFonts w:hint="eastAsia" w:ascii="黑体" w:hAnsi="黑体" w:eastAsia="黑体" w:cs="黑体"/>
                <w:b w:val="0"/>
                <w:bCs w:val="0"/>
                <w:color w:val="auto"/>
                <w:sz w:val="24"/>
                <w:szCs w:val="24"/>
                <w:vertAlign w:val="baseline"/>
                <w:lang w:val="en-US" w:eastAsia="zh-CN"/>
              </w:rPr>
              <w:t>累计完成情况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Fonts w:hint="eastAsia" w:ascii="仿宋_GB2312" w:hAnsi="仿宋_GB2312" w:eastAsia="仿宋_GB2312" w:cs="仿宋_GB2312"/>
                <w:b w:val="0"/>
                <w:bCs w:val="0"/>
                <w:i w:val="0"/>
                <w:iCs w:val="0"/>
                <w:color w:val="000000"/>
                <w:kern w:val="0"/>
                <w:sz w:val="24"/>
                <w:szCs w:val="24"/>
                <w:u w:val="none"/>
                <w:lang w:val="en-US" w:eastAsia="zh-CN" w:bidi="ar"/>
              </w:rPr>
            </w:pPr>
            <w:r>
              <w:rPr>
                <w:rFonts w:hint="eastAsia" w:ascii="仿宋_GB2312" w:hAnsi="仿宋_GB2312" w:eastAsia="仿宋_GB2312" w:cs="仿宋_GB2312"/>
                <w:b w:val="0"/>
                <w:bCs w:val="0"/>
                <w:i w:val="0"/>
                <w:iCs w:val="0"/>
                <w:color w:val="000000"/>
                <w:kern w:val="0"/>
                <w:sz w:val="24"/>
                <w:szCs w:val="24"/>
                <w:u w:val="none"/>
                <w:lang w:val="en-US" w:eastAsia="zh-CN" w:bidi="ar"/>
              </w:rPr>
              <w:t>1</w:t>
            </w:r>
          </w:p>
        </w:tc>
        <w:tc>
          <w:tcPr>
            <w:tcW w:w="2957"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left"/>
              <w:textAlignment w:val="center"/>
              <w:rPr>
                <w:rFonts w:hint="eastAsia" w:ascii="仿宋_GB2312" w:hAnsi="仿宋_GB2312" w:eastAsia="仿宋_GB2312" w:cs="仿宋_GB2312"/>
                <w:b w:val="0"/>
                <w:bCs w:val="0"/>
                <w:i w:val="0"/>
                <w:iCs w:val="0"/>
                <w:color w:val="000000"/>
                <w:kern w:val="0"/>
                <w:sz w:val="24"/>
                <w:szCs w:val="24"/>
                <w:u w:val="none"/>
                <w:lang w:val="en-US" w:eastAsia="zh-CN" w:bidi="ar"/>
              </w:rPr>
            </w:pPr>
            <w:r>
              <w:rPr>
                <w:rFonts w:hint="eastAsia" w:ascii="仿宋_GB2312" w:hAnsi="仿宋_GB2312" w:eastAsia="仿宋_GB2312" w:cs="仿宋_GB2312"/>
                <w:b w:val="0"/>
                <w:bCs w:val="0"/>
                <w:i w:val="0"/>
                <w:iCs w:val="0"/>
                <w:color w:val="000000"/>
                <w:kern w:val="0"/>
                <w:sz w:val="24"/>
                <w:szCs w:val="24"/>
                <w:u w:val="none"/>
                <w:lang w:val="en-US" w:eastAsia="zh-CN" w:bidi="ar"/>
              </w:rPr>
              <w:t>决策参考，不少于10项。</w:t>
            </w:r>
          </w:p>
        </w:tc>
        <w:tc>
          <w:tcPr>
            <w:tcW w:w="2608" w:type="dxa"/>
          </w:tcPr>
          <w:p>
            <w:pPr>
              <w:spacing w:line="400" w:lineRule="exact"/>
              <w:rPr>
                <w:rFonts w:hint="eastAsia" w:ascii="仿宋_GB2312" w:hAnsi="仿宋_GB2312" w:eastAsia="仿宋_GB2312" w:cs="仿宋_GB2312"/>
                <w:sz w:val="24"/>
                <w:lang w:val="en-US" w:eastAsia="zh-CN"/>
              </w:rPr>
            </w:pPr>
            <w:r>
              <w:rPr>
                <w:rFonts w:hint="eastAsia" w:ascii="仿宋_GB2312" w:hAnsi="仿宋_GB2312" w:eastAsia="仿宋_GB2312" w:cs="仿宋_GB2312"/>
                <w:b/>
                <w:bCs/>
                <w:sz w:val="24"/>
              </w:rPr>
              <w:t>完成。</w:t>
            </w:r>
            <w:r>
              <w:rPr>
                <w:rFonts w:hint="eastAsia" w:ascii="仿宋_GB2312" w:hAnsi="仿宋_GB2312" w:eastAsia="仿宋_GB2312" w:cs="仿宋_GB2312"/>
                <w:b w:val="0"/>
                <w:bCs w:val="0"/>
                <w:sz w:val="24"/>
                <w:lang w:val="en-US" w:eastAsia="zh-CN"/>
              </w:rPr>
              <w:t>12项</w:t>
            </w:r>
          </w:p>
        </w:tc>
        <w:tc>
          <w:tcPr>
            <w:tcW w:w="2693" w:type="dxa"/>
          </w:tcPr>
          <w:p>
            <w:pPr>
              <w:spacing w:line="400" w:lineRule="exact"/>
              <w:rPr>
                <w:rFonts w:hint="eastAsia" w:ascii="仿宋_GB2312" w:hAnsi="仿宋_GB2312" w:eastAsia="仿宋_GB2312" w:cs="仿宋_GB2312"/>
                <w:b/>
                <w:bCs/>
                <w:sz w:val="24"/>
                <w:lang w:val="en-US" w:eastAsia="zh-CN"/>
              </w:rPr>
            </w:pPr>
            <w:r>
              <w:rPr>
                <w:rFonts w:hint="eastAsia" w:ascii="仿宋_GB2312" w:hAnsi="仿宋_GB2312" w:eastAsia="仿宋_GB2312" w:cs="仿宋_GB2312"/>
                <w:b/>
                <w:bCs/>
                <w:sz w:val="24"/>
              </w:rPr>
              <w:t>完成。</w:t>
            </w:r>
            <w:r>
              <w:rPr>
                <w:rFonts w:hint="eastAsia" w:ascii="仿宋_GB2312" w:hAnsi="仿宋_GB2312" w:eastAsia="仿宋_GB2312" w:cs="仿宋_GB2312"/>
                <w:b w:val="0"/>
                <w:bCs w:val="0"/>
                <w:sz w:val="24"/>
                <w:lang w:eastAsia="zh-CN"/>
              </w:rPr>
              <w:t>累计完成</w:t>
            </w:r>
            <w:r>
              <w:rPr>
                <w:rFonts w:hint="eastAsia" w:ascii="仿宋_GB2312" w:hAnsi="仿宋_GB2312" w:eastAsia="仿宋_GB2312" w:cs="仿宋_GB2312"/>
                <w:b w:val="0"/>
                <w:bCs w:val="0"/>
                <w:sz w:val="24"/>
                <w:lang w:val="en-US" w:eastAsia="zh-CN"/>
              </w:rPr>
              <w:t>45项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Fonts w:hint="eastAsia" w:ascii="仿宋_GB2312" w:hAnsi="仿宋_GB2312" w:eastAsia="仿宋_GB2312" w:cs="仿宋_GB2312"/>
                <w:b w:val="0"/>
                <w:bCs w:val="0"/>
                <w:i w:val="0"/>
                <w:iCs w:val="0"/>
                <w:color w:val="000000"/>
                <w:kern w:val="0"/>
                <w:sz w:val="24"/>
                <w:szCs w:val="24"/>
                <w:u w:val="none"/>
                <w:lang w:val="en-US" w:eastAsia="zh-CN" w:bidi="ar"/>
              </w:rPr>
            </w:pPr>
            <w:r>
              <w:rPr>
                <w:rFonts w:hint="eastAsia" w:ascii="仿宋_GB2312" w:hAnsi="仿宋_GB2312" w:eastAsia="仿宋_GB2312" w:cs="仿宋_GB2312"/>
                <w:b w:val="0"/>
                <w:bCs w:val="0"/>
                <w:i w:val="0"/>
                <w:iCs w:val="0"/>
                <w:color w:val="000000"/>
                <w:kern w:val="0"/>
                <w:sz w:val="24"/>
                <w:szCs w:val="24"/>
                <w:u w:val="none"/>
                <w:lang w:val="en-US" w:eastAsia="zh-CN" w:bidi="ar"/>
              </w:rPr>
              <w:t>2</w:t>
            </w:r>
          </w:p>
        </w:tc>
        <w:tc>
          <w:tcPr>
            <w:tcW w:w="2957"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left"/>
              <w:textAlignment w:val="center"/>
              <w:rPr>
                <w:rFonts w:hint="eastAsia" w:ascii="仿宋_GB2312" w:hAnsi="仿宋_GB2312" w:eastAsia="仿宋_GB2312" w:cs="仿宋_GB2312"/>
                <w:b w:val="0"/>
                <w:bCs w:val="0"/>
                <w:i w:val="0"/>
                <w:iCs w:val="0"/>
                <w:color w:val="000000"/>
                <w:kern w:val="0"/>
                <w:sz w:val="24"/>
                <w:szCs w:val="24"/>
                <w:u w:val="none"/>
                <w:lang w:val="en-US" w:eastAsia="zh-CN" w:bidi="ar"/>
              </w:rPr>
            </w:pPr>
            <w:r>
              <w:rPr>
                <w:rFonts w:hint="eastAsia" w:ascii="仿宋_GB2312" w:hAnsi="仿宋_GB2312" w:eastAsia="仿宋_GB2312" w:cs="仿宋_GB2312"/>
                <w:b w:val="0"/>
                <w:bCs w:val="0"/>
                <w:i w:val="0"/>
                <w:iCs w:val="0"/>
                <w:color w:val="000000"/>
                <w:kern w:val="0"/>
                <w:sz w:val="24"/>
                <w:szCs w:val="24"/>
                <w:u w:val="none"/>
                <w:lang w:val="en-US" w:eastAsia="zh-CN" w:bidi="ar"/>
              </w:rPr>
              <w:t>高端培训（为政府和金融机构高端人才提供），每年不少于12场次。</w:t>
            </w:r>
          </w:p>
        </w:tc>
        <w:tc>
          <w:tcPr>
            <w:tcW w:w="2608" w:type="dxa"/>
          </w:tcPr>
          <w:p>
            <w:pPr>
              <w:spacing w:line="400" w:lineRule="exact"/>
              <w:rPr>
                <w:rFonts w:hint="eastAsia" w:ascii="仿宋_GB2312" w:hAnsi="仿宋_GB2312" w:eastAsia="仿宋_GB2312" w:cs="仿宋_GB2312"/>
                <w:sz w:val="24"/>
              </w:rPr>
            </w:pPr>
            <w:r>
              <w:rPr>
                <w:rFonts w:hint="eastAsia" w:ascii="仿宋_GB2312" w:hAnsi="仿宋_GB2312" w:eastAsia="仿宋_GB2312" w:cs="仿宋_GB2312"/>
                <w:b/>
                <w:bCs/>
                <w:sz w:val="24"/>
              </w:rPr>
              <w:t>完成。</w:t>
            </w:r>
            <w:r>
              <w:rPr>
                <w:rFonts w:hint="eastAsia" w:ascii="仿宋_GB2312" w:hAnsi="仿宋_GB2312" w:eastAsia="仿宋_GB2312" w:cs="仿宋_GB2312"/>
                <w:sz w:val="24"/>
                <w:lang w:val="en-US" w:eastAsia="zh-CN"/>
              </w:rPr>
              <w:t>14</w:t>
            </w:r>
            <w:r>
              <w:rPr>
                <w:rFonts w:hint="eastAsia" w:ascii="仿宋_GB2312" w:hAnsi="仿宋_GB2312" w:eastAsia="仿宋_GB2312" w:cs="仿宋_GB2312"/>
                <w:sz w:val="24"/>
              </w:rPr>
              <w:t>场</w:t>
            </w:r>
          </w:p>
        </w:tc>
        <w:tc>
          <w:tcPr>
            <w:tcW w:w="2693" w:type="dxa"/>
          </w:tcPr>
          <w:p>
            <w:pPr>
              <w:spacing w:line="400" w:lineRule="exact"/>
              <w:rPr>
                <w:rFonts w:hint="eastAsia" w:ascii="仿宋_GB2312" w:hAnsi="仿宋_GB2312" w:eastAsia="仿宋_GB2312" w:cs="仿宋_GB2312"/>
                <w:sz w:val="24"/>
                <w:lang w:val="en-US" w:eastAsia="zh-CN"/>
              </w:rPr>
            </w:pPr>
            <w:r>
              <w:rPr>
                <w:rFonts w:hint="eastAsia" w:ascii="仿宋_GB2312" w:hAnsi="仿宋_GB2312" w:eastAsia="仿宋_GB2312" w:cs="仿宋_GB2312"/>
                <w:b/>
                <w:bCs/>
                <w:sz w:val="24"/>
              </w:rPr>
              <w:t>完成。</w:t>
            </w:r>
            <w:r>
              <w:rPr>
                <w:rFonts w:hint="eastAsia" w:ascii="仿宋_GB2312" w:hAnsi="仿宋_GB2312" w:eastAsia="仿宋_GB2312" w:cs="仿宋_GB2312"/>
                <w:b w:val="0"/>
                <w:bCs w:val="0"/>
                <w:sz w:val="24"/>
                <w:lang w:eastAsia="zh-CN"/>
              </w:rPr>
              <w:t>累计完成</w:t>
            </w:r>
            <w:r>
              <w:rPr>
                <w:rFonts w:hint="eastAsia" w:ascii="仿宋_GB2312" w:hAnsi="仿宋_GB2312" w:eastAsia="仿宋_GB2312" w:cs="仿宋_GB2312"/>
                <w:b w:val="0"/>
                <w:bCs w:val="0"/>
                <w:sz w:val="24"/>
                <w:lang w:val="en-US" w:eastAsia="zh-CN"/>
              </w:rPr>
              <w:t>53场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3"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Fonts w:hint="eastAsia" w:ascii="仿宋_GB2312" w:hAnsi="仿宋_GB2312" w:eastAsia="仿宋_GB2312" w:cs="仿宋_GB2312"/>
                <w:b w:val="0"/>
                <w:bCs w:val="0"/>
                <w:i w:val="0"/>
                <w:iCs w:val="0"/>
                <w:color w:val="000000"/>
                <w:kern w:val="0"/>
                <w:sz w:val="24"/>
                <w:szCs w:val="24"/>
                <w:u w:val="none"/>
                <w:lang w:val="en-US" w:eastAsia="zh-CN" w:bidi="ar"/>
              </w:rPr>
            </w:pPr>
            <w:r>
              <w:rPr>
                <w:rFonts w:hint="eastAsia" w:ascii="仿宋_GB2312" w:hAnsi="仿宋_GB2312" w:eastAsia="仿宋_GB2312" w:cs="仿宋_GB2312"/>
                <w:b w:val="0"/>
                <w:bCs w:val="0"/>
                <w:i w:val="0"/>
                <w:iCs w:val="0"/>
                <w:color w:val="000000"/>
                <w:kern w:val="0"/>
                <w:sz w:val="24"/>
                <w:szCs w:val="24"/>
                <w:u w:val="none"/>
                <w:lang w:val="en-US" w:eastAsia="zh-CN" w:bidi="ar"/>
              </w:rPr>
              <w:t>3</w:t>
            </w:r>
          </w:p>
        </w:tc>
        <w:tc>
          <w:tcPr>
            <w:tcW w:w="2957"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left"/>
              <w:textAlignment w:val="center"/>
              <w:rPr>
                <w:rFonts w:hint="eastAsia" w:ascii="仿宋_GB2312" w:hAnsi="仿宋_GB2312" w:eastAsia="仿宋_GB2312" w:cs="仿宋_GB2312"/>
                <w:b w:val="0"/>
                <w:bCs w:val="0"/>
                <w:i w:val="0"/>
                <w:iCs w:val="0"/>
                <w:color w:val="000000"/>
                <w:kern w:val="0"/>
                <w:sz w:val="24"/>
                <w:szCs w:val="24"/>
                <w:u w:val="none"/>
                <w:lang w:val="en-US" w:eastAsia="zh-CN" w:bidi="ar"/>
              </w:rPr>
            </w:pPr>
            <w:r>
              <w:rPr>
                <w:rFonts w:hint="eastAsia" w:ascii="仿宋_GB2312" w:hAnsi="仿宋_GB2312" w:eastAsia="仿宋_GB2312" w:cs="仿宋_GB2312"/>
                <w:b w:val="0"/>
                <w:bCs w:val="0"/>
                <w:i w:val="0"/>
                <w:iCs w:val="0"/>
                <w:color w:val="000000"/>
                <w:kern w:val="0"/>
                <w:sz w:val="24"/>
                <w:szCs w:val="24"/>
                <w:u w:val="none"/>
                <w:lang w:val="en-US" w:eastAsia="zh-CN" w:bidi="ar"/>
              </w:rPr>
              <w:t>组织高水平论坛、学术会议和学术讲座，每年不少于6场。</w:t>
            </w:r>
          </w:p>
        </w:tc>
        <w:tc>
          <w:tcPr>
            <w:tcW w:w="2608" w:type="dxa"/>
          </w:tcPr>
          <w:p>
            <w:pPr>
              <w:spacing w:line="400" w:lineRule="exact"/>
              <w:rPr>
                <w:rFonts w:hint="eastAsia" w:ascii="仿宋_GB2312" w:hAnsi="仿宋_GB2312" w:eastAsia="仿宋_GB2312" w:cs="仿宋_GB2312"/>
                <w:sz w:val="24"/>
              </w:rPr>
            </w:pPr>
            <w:r>
              <w:rPr>
                <w:rFonts w:hint="eastAsia" w:ascii="仿宋_GB2312" w:hAnsi="仿宋_GB2312" w:eastAsia="仿宋_GB2312" w:cs="仿宋_GB2312"/>
                <w:b/>
                <w:bCs/>
                <w:sz w:val="24"/>
              </w:rPr>
              <w:t>完成。</w:t>
            </w:r>
            <w:r>
              <w:rPr>
                <w:rFonts w:hint="eastAsia" w:ascii="仿宋_GB2312" w:hAnsi="仿宋_GB2312" w:eastAsia="仿宋_GB2312" w:cs="仿宋_GB2312"/>
                <w:sz w:val="24"/>
                <w:lang w:val="en-US" w:eastAsia="zh-CN"/>
              </w:rPr>
              <w:t>6</w:t>
            </w:r>
            <w:r>
              <w:rPr>
                <w:rFonts w:hint="eastAsia" w:ascii="仿宋_GB2312" w:hAnsi="仿宋_GB2312" w:eastAsia="仿宋_GB2312" w:cs="仿宋_GB2312"/>
                <w:sz w:val="24"/>
              </w:rPr>
              <w:t>场</w:t>
            </w:r>
          </w:p>
        </w:tc>
        <w:tc>
          <w:tcPr>
            <w:tcW w:w="2693" w:type="dxa"/>
          </w:tcPr>
          <w:p>
            <w:pPr>
              <w:spacing w:line="400" w:lineRule="exact"/>
              <w:rPr>
                <w:rFonts w:hint="eastAsia" w:ascii="仿宋_GB2312" w:hAnsi="仿宋_GB2312" w:eastAsia="仿宋_GB2312" w:cs="仿宋_GB2312"/>
                <w:sz w:val="24"/>
              </w:rPr>
            </w:pPr>
            <w:r>
              <w:rPr>
                <w:rFonts w:hint="eastAsia" w:ascii="仿宋_GB2312" w:hAnsi="仿宋_GB2312" w:eastAsia="仿宋_GB2312" w:cs="仿宋_GB2312"/>
                <w:b/>
                <w:bCs/>
                <w:sz w:val="24"/>
              </w:rPr>
              <w:t>完成。</w:t>
            </w:r>
            <w:r>
              <w:rPr>
                <w:rFonts w:hint="eastAsia" w:ascii="仿宋_GB2312" w:hAnsi="仿宋_GB2312" w:eastAsia="仿宋_GB2312" w:cs="仿宋_GB2312"/>
                <w:b w:val="0"/>
                <w:bCs w:val="0"/>
                <w:sz w:val="24"/>
                <w:lang w:eastAsia="zh-CN"/>
              </w:rPr>
              <w:t>累计完成</w:t>
            </w:r>
            <w:r>
              <w:rPr>
                <w:rFonts w:hint="eastAsia" w:ascii="仿宋_GB2312" w:hAnsi="仿宋_GB2312" w:eastAsia="仿宋_GB2312" w:cs="仿宋_GB2312"/>
                <w:b w:val="0"/>
                <w:bCs w:val="0"/>
                <w:sz w:val="24"/>
                <w:lang w:val="en-US" w:eastAsia="zh-CN"/>
              </w:rPr>
              <w:t>30场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Fonts w:hint="eastAsia" w:ascii="仿宋_GB2312" w:hAnsi="仿宋_GB2312" w:eastAsia="仿宋_GB2312" w:cs="仿宋_GB2312"/>
                <w:b w:val="0"/>
                <w:bCs w:val="0"/>
                <w:i w:val="0"/>
                <w:iCs w:val="0"/>
                <w:color w:val="000000"/>
                <w:kern w:val="0"/>
                <w:sz w:val="24"/>
                <w:szCs w:val="24"/>
                <w:u w:val="none"/>
                <w:lang w:val="en-US" w:eastAsia="zh-CN" w:bidi="ar"/>
              </w:rPr>
            </w:pPr>
            <w:r>
              <w:rPr>
                <w:rFonts w:hint="eastAsia" w:ascii="仿宋_GB2312" w:hAnsi="仿宋_GB2312" w:eastAsia="仿宋_GB2312" w:cs="仿宋_GB2312"/>
                <w:b w:val="0"/>
                <w:bCs w:val="0"/>
                <w:i w:val="0"/>
                <w:iCs w:val="0"/>
                <w:color w:val="000000"/>
                <w:kern w:val="0"/>
                <w:sz w:val="24"/>
                <w:szCs w:val="24"/>
                <w:u w:val="none"/>
                <w:lang w:val="en-US" w:eastAsia="zh-CN" w:bidi="ar"/>
              </w:rPr>
              <w:t>4</w:t>
            </w:r>
          </w:p>
        </w:tc>
        <w:tc>
          <w:tcPr>
            <w:tcW w:w="2957"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left"/>
              <w:textAlignment w:val="center"/>
              <w:rPr>
                <w:rFonts w:hint="eastAsia" w:ascii="仿宋_GB2312" w:hAnsi="仿宋_GB2312" w:eastAsia="仿宋_GB2312" w:cs="仿宋_GB2312"/>
                <w:b w:val="0"/>
                <w:bCs w:val="0"/>
                <w:i w:val="0"/>
                <w:iCs w:val="0"/>
                <w:color w:val="000000"/>
                <w:kern w:val="0"/>
                <w:sz w:val="24"/>
                <w:szCs w:val="24"/>
                <w:u w:val="none"/>
                <w:lang w:val="en-US" w:eastAsia="zh-CN" w:bidi="ar"/>
              </w:rPr>
            </w:pPr>
            <w:r>
              <w:rPr>
                <w:rFonts w:hint="eastAsia" w:ascii="仿宋_GB2312" w:hAnsi="仿宋_GB2312" w:eastAsia="仿宋_GB2312" w:cs="仿宋_GB2312"/>
                <w:b w:val="0"/>
                <w:bCs w:val="0"/>
                <w:i w:val="0"/>
                <w:iCs w:val="0"/>
                <w:color w:val="000000"/>
                <w:kern w:val="0"/>
                <w:sz w:val="24"/>
                <w:szCs w:val="24"/>
                <w:u w:val="none"/>
                <w:lang w:val="en-US" w:eastAsia="zh-CN" w:bidi="ar"/>
              </w:rPr>
              <w:t>在校生规模。2024年应达到950人以上。</w:t>
            </w:r>
          </w:p>
        </w:tc>
        <w:tc>
          <w:tcPr>
            <w:tcW w:w="2608" w:type="dxa"/>
          </w:tcPr>
          <w:p>
            <w:pPr>
              <w:spacing w:line="400" w:lineRule="exact"/>
              <w:rPr>
                <w:rFonts w:hint="eastAsia" w:ascii="仿宋_GB2312" w:hAnsi="仿宋_GB2312" w:eastAsia="仿宋_GB2312" w:cs="仿宋_GB2312"/>
                <w:sz w:val="24"/>
                <w:lang w:eastAsia="zh-CN"/>
              </w:rPr>
            </w:pPr>
            <w:r>
              <w:rPr>
                <w:rFonts w:hint="eastAsia" w:ascii="仿宋_GB2312" w:hAnsi="仿宋_GB2312" w:eastAsia="仿宋_GB2312" w:cs="仿宋_GB2312"/>
                <w:b/>
                <w:bCs/>
                <w:sz w:val="24"/>
              </w:rPr>
              <w:t>有序推进。</w:t>
            </w:r>
            <w:r>
              <w:rPr>
                <w:rFonts w:hint="eastAsia" w:ascii="仿宋_GB2312" w:hAnsi="仿宋_GB2312" w:eastAsia="仿宋_GB2312" w:cs="仿宋_GB2312"/>
                <w:sz w:val="24"/>
                <w:lang w:val="en-US" w:eastAsia="zh-CN"/>
              </w:rPr>
              <w:t>1704</w:t>
            </w:r>
            <w:r>
              <w:rPr>
                <w:rFonts w:hint="eastAsia" w:ascii="仿宋_GB2312" w:hAnsi="仿宋_GB2312" w:eastAsia="仿宋_GB2312" w:cs="仿宋_GB2312"/>
                <w:sz w:val="24"/>
              </w:rPr>
              <w:t>人</w:t>
            </w:r>
            <w:r>
              <w:rPr>
                <w:rFonts w:hint="eastAsia" w:ascii="仿宋_GB2312" w:hAnsi="仿宋_GB2312" w:eastAsia="仿宋_GB2312" w:cs="仿宋_GB2312"/>
                <w:sz w:val="24"/>
                <w:lang w:eastAsia="zh-CN"/>
              </w:rPr>
              <w:t>（</w:t>
            </w:r>
            <w:r>
              <w:rPr>
                <w:rFonts w:hint="eastAsia" w:ascii="仿宋_GB2312" w:hAnsi="仿宋_GB2312" w:eastAsia="仿宋_GB2312" w:cs="仿宋_GB2312"/>
                <w:sz w:val="24"/>
                <w:lang w:val="en-US" w:eastAsia="zh-CN"/>
              </w:rPr>
              <w:t>全日制1090人，兼读制614人</w:t>
            </w:r>
            <w:r>
              <w:rPr>
                <w:rFonts w:hint="eastAsia" w:ascii="仿宋_GB2312" w:hAnsi="仿宋_GB2312" w:eastAsia="仿宋_GB2312" w:cs="仿宋_GB2312"/>
                <w:sz w:val="24"/>
                <w:lang w:eastAsia="zh-CN"/>
              </w:rPr>
              <w:t>）</w:t>
            </w:r>
          </w:p>
        </w:tc>
        <w:tc>
          <w:tcPr>
            <w:tcW w:w="2693" w:type="dxa"/>
          </w:tcPr>
          <w:p>
            <w:pPr>
              <w:spacing w:line="400" w:lineRule="exact"/>
              <w:rPr>
                <w:rFonts w:hint="eastAsia" w:ascii="仿宋_GB2312" w:hAnsi="仿宋_GB2312" w:eastAsia="仿宋_GB2312" w:cs="仿宋_GB2312"/>
                <w:b/>
                <w:bCs/>
                <w:sz w:val="24"/>
              </w:rPr>
            </w:pPr>
            <w:r>
              <w:rPr>
                <w:rFonts w:hint="eastAsia" w:ascii="仿宋_GB2312" w:hAnsi="仿宋_GB2312" w:eastAsia="仿宋_GB2312" w:cs="仿宋_GB2312"/>
                <w:b/>
                <w:bCs/>
                <w:sz w:val="24"/>
                <w:lang w:eastAsia="zh-CN"/>
              </w:rPr>
              <w:t>符合预期</w:t>
            </w:r>
            <w:r>
              <w:rPr>
                <w:rFonts w:hint="eastAsia" w:ascii="仿宋_GB2312" w:hAnsi="仿宋_GB2312" w:eastAsia="仿宋_GB2312" w:cs="仿宋_GB2312"/>
                <w:b/>
                <w:bCs/>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Fonts w:hint="eastAsia" w:ascii="仿宋_GB2312" w:hAnsi="仿宋_GB2312" w:eastAsia="仿宋_GB2312" w:cs="仿宋_GB2312"/>
                <w:b w:val="0"/>
                <w:bCs w:val="0"/>
                <w:i w:val="0"/>
                <w:iCs w:val="0"/>
                <w:color w:val="000000"/>
                <w:kern w:val="0"/>
                <w:sz w:val="24"/>
                <w:szCs w:val="24"/>
                <w:u w:val="none"/>
                <w:lang w:val="en-US" w:eastAsia="zh-CN" w:bidi="ar"/>
              </w:rPr>
            </w:pPr>
            <w:r>
              <w:rPr>
                <w:rFonts w:hint="eastAsia" w:ascii="仿宋_GB2312" w:hAnsi="仿宋_GB2312" w:eastAsia="仿宋_GB2312" w:cs="仿宋_GB2312"/>
                <w:b w:val="0"/>
                <w:bCs w:val="0"/>
                <w:i w:val="0"/>
                <w:iCs w:val="0"/>
                <w:color w:val="000000"/>
                <w:kern w:val="0"/>
                <w:sz w:val="24"/>
                <w:szCs w:val="24"/>
                <w:u w:val="none"/>
                <w:lang w:val="en-US" w:eastAsia="zh-CN" w:bidi="ar"/>
              </w:rPr>
              <w:t>5</w:t>
            </w:r>
          </w:p>
        </w:tc>
        <w:tc>
          <w:tcPr>
            <w:tcW w:w="2957"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left"/>
              <w:textAlignment w:val="center"/>
              <w:rPr>
                <w:rFonts w:hint="eastAsia" w:ascii="仿宋_GB2312" w:hAnsi="仿宋_GB2312" w:eastAsia="仿宋_GB2312" w:cs="仿宋_GB2312"/>
                <w:b w:val="0"/>
                <w:bCs w:val="0"/>
                <w:i w:val="0"/>
                <w:iCs w:val="0"/>
                <w:color w:val="000000"/>
                <w:kern w:val="0"/>
                <w:sz w:val="24"/>
                <w:szCs w:val="24"/>
                <w:u w:val="none"/>
                <w:lang w:val="en-US" w:eastAsia="zh-CN" w:bidi="ar"/>
              </w:rPr>
            </w:pPr>
            <w:r>
              <w:rPr>
                <w:rFonts w:hint="eastAsia" w:ascii="仿宋_GB2312" w:hAnsi="仿宋_GB2312" w:eastAsia="仿宋_GB2312" w:cs="仿宋_GB2312"/>
                <w:b w:val="0"/>
                <w:bCs w:val="0"/>
                <w:i w:val="0"/>
                <w:iCs w:val="0"/>
                <w:color w:val="000000"/>
                <w:kern w:val="0"/>
                <w:sz w:val="24"/>
                <w:szCs w:val="24"/>
                <w:u w:val="none"/>
                <w:lang w:val="en-US" w:eastAsia="zh-CN" w:bidi="ar"/>
              </w:rPr>
              <w:t>高层次人才引进，5年内引进不低于40名。</w:t>
            </w:r>
          </w:p>
        </w:tc>
        <w:tc>
          <w:tcPr>
            <w:tcW w:w="2608" w:type="dxa"/>
          </w:tcPr>
          <w:p>
            <w:pPr>
              <w:spacing w:line="400" w:lineRule="exact"/>
              <w:rPr>
                <w:rFonts w:hint="eastAsia" w:ascii="仿宋_GB2312" w:hAnsi="仿宋_GB2312" w:eastAsia="仿宋_GB2312" w:cs="仿宋_GB2312"/>
                <w:sz w:val="24"/>
              </w:rPr>
            </w:pPr>
            <w:r>
              <w:rPr>
                <w:rFonts w:hint="eastAsia" w:ascii="仿宋_GB2312" w:hAnsi="仿宋_GB2312" w:eastAsia="仿宋_GB2312" w:cs="仿宋_GB2312"/>
                <w:b/>
                <w:bCs/>
                <w:sz w:val="24"/>
              </w:rPr>
              <w:t>有序推进。</w:t>
            </w:r>
            <w:r>
              <w:rPr>
                <w:rFonts w:hint="eastAsia" w:ascii="仿宋_GB2312" w:hAnsi="仿宋_GB2312" w:eastAsia="仿宋_GB2312" w:cs="仿宋_GB2312"/>
                <w:sz w:val="24"/>
              </w:rPr>
              <w:t>引进高层次人才</w:t>
            </w:r>
            <w:r>
              <w:rPr>
                <w:rFonts w:hint="eastAsia" w:ascii="仿宋_GB2312" w:hAnsi="仿宋_GB2312" w:eastAsia="仿宋_GB2312" w:cs="仿宋_GB2312"/>
                <w:sz w:val="24"/>
                <w:lang w:val="en-US" w:eastAsia="zh-CN"/>
              </w:rPr>
              <w:t>10</w:t>
            </w:r>
            <w:r>
              <w:rPr>
                <w:rFonts w:hint="eastAsia" w:ascii="仿宋_GB2312" w:hAnsi="仿宋_GB2312" w:eastAsia="仿宋_GB2312" w:cs="仿宋_GB2312"/>
                <w:sz w:val="24"/>
              </w:rPr>
              <w:t>名。</w:t>
            </w:r>
          </w:p>
        </w:tc>
        <w:tc>
          <w:tcPr>
            <w:tcW w:w="2693" w:type="dxa"/>
          </w:tcPr>
          <w:p>
            <w:pPr>
              <w:spacing w:line="400" w:lineRule="exact"/>
              <w:rPr>
                <w:rFonts w:hint="eastAsia" w:ascii="仿宋_GB2312" w:hAnsi="仿宋_GB2312" w:eastAsia="仿宋_GB2312" w:cs="仿宋_GB2312"/>
                <w:b/>
                <w:bCs/>
                <w:sz w:val="24"/>
              </w:rPr>
            </w:pPr>
            <w:r>
              <w:rPr>
                <w:rFonts w:hint="eastAsia" w:ascii="仿宋_GB2312" w:hAnsi="仿宋_GB2312" w:eastAsia="仿宋_GB2312" w:cs="仿宋_GB2312"/>
                <w:b/>
                <w:bCs/>
                <w:sz w:val="24"/>
              </w:rPr>
              <w:t>有序推进。</w:t>
            </w:r>
            <w:r>
              <w:rPr>
                <w:rFonts w:hint="eastAsia" w:ascii="仿宋_GB2312" w:hAnsi="仿宋_GB2312" w:eastAsia="仿宋_GB2312" w:cs="仿宋_GB2312"/>
                <w:sz w:val="24"/>
              </w:rPr>
              <w:t>累计引进高层次人才</w:t>
            </w:r>
            <w:r>
              <w:rPr>
                <w:rFonts w:hint="eastAsia" w:ascii="仿宋_GB2312" w:hAnsi="仿宋_GB2312" w:eastAsia="仿宋_GB2312" w:cs="仿宋_GB2312"/>
                <w:sz w:val="24"/>
                <w:lang w:val="en-US" w:eastAsia="zh-CN"/>
              </w:rPr>
              <w:t>37</w:t>
            </w:r>
            <w:r>
              <w:rPr>
                <w:rFonts w:hint="eastAsia" w:ascii="仿宋_GB2312" w:hAnsi="仿宋_GB2312" w:eastAsia="仿宋_GB2312" w:cs="仿宋_GB2312"/>
                <w:sz w:val="24"/>
              </w:rPr>
              <w:t>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Fonts w:hint="eastAsia" w:ascii="仿宋_GB2312" w:hAnsi="仿宋_GB2312" w:eastAsia="仿宋_GB2312" w:cs="仿宋_GB2312"/>
                <w:b w:val="0"/>
                <w:bCs w:val="0"/>
                <w:i w:val="0"/>
                <w:iCs w:val="0"/>
                <w:color w:val="000000"/>
                <w:kern w:val="0"/>
                <w:sz w:val="24"/>
                <w:szCs w:val="24"/>
                <w:u w:val="none"/>
                <w:lang w:val="en-US" w:eastAsia="zh-CN" w:bidi="ar"/>
              </w:rPr>
            </w:pPr>
            <w:r>
              <w:rPr>
                <w:rFonts w:hint="eastAsia" w:ascii="仿宋_GB2312" w:hAnsi="仿宋_GB2312" w:eastAsia="仿宋_GB2312" w:cs="仿宋_GB2312"/>
                <w:b w:val="0"/>
                <w:bCs w:val="0"/>
                <w:i w:val="0"/>
                <w:iCs w:val="0"/>
                <w:color w:val="000000"/>
                <w:kern w:val="0"/>
                <w:sz w:val="24"/>
                <w:szCs w:val="24"/>
                <w:u w:val="none"/>
                <w:lang w:val="en-US" w:eastAsia="zh-CN" w:bidi="ar"/>
              </w:rPr>
              <w:t>6</w:t>
            </w:r>
          </w:p>
        </w:tc>
        <w:tc>
          <w:tcPr>
            <w:tcW w:w="2957"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left"/>
              <w:textAlignment w:val="center"/>
              <w:rPr>
                <w:rFonts w:hint="eastAsia" w:ascii="仿宋_GB2312" w:hAnsi="仿宋_GB2312" w:eastAsia="仿宋_GB2312" w:cs="仿宋_GB2312"/>
                <w:b w:val="0"/>
                <w:bCs w:val="0"/>
                <w:i w:val="0"/>
                <w:iCs w:val="0"/>
                <w:color w:val="000000"/>
                <w:kern w:val="0"/>
                <w:sz w:val="24"/>
                <w:szCs w:val="24"/>
                <w:u w:val="none"/>
                <w:lang w:val="en-US" w:eastAsia="zh-CN" w:bidi="ar"/>
              </w:rPr>
            </w:pPr>
            <w:r>
              <w:rPr>
                <w:rFonts w:hint="eastAsia" w:ascii="仿宋_GB2312" w:hAnsi="仿宋_GB2312" w:eastAsia="仿宋_GB2312" w:cs="仿宋_GB2312"/>
                <w:b w:val="0"/>
                <w:bCs w:val="0"/>
                <w:i w:val="0"/>
                <w:iCs w:val="0"/>
                <w:color w:val="000000"/>
                <w:kern w:val="0"/>
                <w:sz w:val="24"/>
                <w:szCs w:val="24"/>
                <w:u w:val="none"/>
                <w:lang w:val="en-US" w:eastAsia="zh-CN" w:bidi="ar"/>
              </w:rPr>
              <w:t>研究中心建设，总数不低于10个。</w:t>
            </w:r>
          </w:p>
        </w:tc>
        <w:tc>
          <w:tcPr>
            <w:tcW w:w="5301" w:type="dxa"/>
            <w:gridSpan w:val="2"/>
          </w:tcPr>
          <w:p>
            <w:pPr>
              <w:spacing w:line="400" w:lineRule="exact"/>
              <w:rPr>
                <w:rFonts w:hint="default" w:ascii="仿宋_GB2312" w:hAnsi="仿宋_GB2312" w:eastAsia="仿宋_GB2312" w:cs="仿宋_GB2312"/>
                <w:sz w:val="24"/>
                <w:lang w:val="en-US" w:eastAsia="zh-CN"/>
              </w:rPr>
            </w:pPr>
            <w:r>
              <w:rPr>
                <w:rFonts w:hint="eastAsia" w:ascii="仿宋_GB2312" w:hAnsi="仿宋_GB2312" w:eastAsia="仿宋_GB2312" w:cs="仿宋_GB2312"/>
                <w:b/>
                <w:bCs/>
                <w:sz w:val="24"/>
              </w:rPr>
              <w:t>完成。</w:t>
            </w:r>
            <w:r>
              <w:rPr>
                <w:rFonts w:hint="eastAsia" w:ascii="仿宋_GB2312" w:hAnsi="仿宋_GB2312" w:eastAsia="仿宋_GB2312" w:cs="仿宋_GB2312"/>
                <w:b w:val="0"/>
                <w:bCs w:val="0"/>
                <w:sz w:val="24"/>
                <w:lang w:val="en-US" w:eastAsia="zh-CN"/>
              </w:rPr>
              <w:t>10个</w:t>
            </w:r>
          </w:p>
        </w:tc>
      </w:tr>
    </w:tbl>
    <w:p>
      <w:pPr>
        <w:keepNext w:val="0"/>
        <w:keepLines w:val="0"/>
        <w:pageBreakBefore w:val="0"/>
        <w:widowControl w:val="0"/>
        <w:kinsoku/>
        <w:wordWrap/>
        <w:overflowPunct/>
        <w:topLinePunct w:val="0"/>
        <w:autoSpaceDE/>
        <w:autoSpaceDN/>
        <w:bidi w:val="0"/>
        <w:adjustRightInd/>
        <w:snapToGrid/>
        <w:spacing w:line="579" w:lineRule="exact"/>
        <w:ind w:firstLine="640" w:firstLineChars="200"/>
        <w:textAlignment w:val="auto"/>
        <w:rPr>
          <w:rFonts w:hint="eastAsia" w:ascii="黑体" w:hAnsi="黑体" w:eastAsia="黑体" w:cs="黑体"/>
          <w:sz w:val="32"/>
          <w:szCs w:val="32"/>
        </w:rPr>
      </w:pPr>
    </w:p>
    <w:p>
      <w:pPr>
        <w:keepNext w:val="0"/>
        <w:keepLines w:val="0"/>
        <w:pageBreakBefore w:val="0"/>
        <w:widowControl w:val="0"/>
        <w:kinsoku/>
        <w:wordWrap/>
        <w:overflowPunct/>
        <w:topLinePunct w:val="0"/>
        <w:autoSpaceDE/>
        <w:autoSpaceDN/>
        <w:bidi w:val="0"/>
        <w:adjustRightInd/>
        <w:snapToGrid/>
        <w:spacing w:line="579" w:lineRule="exact"/>
        <w:ind w:firstLine="640" w:firstLineChars="200"/>
        <w:textAlignment w:val="auto"/>
        <w:rPr>
          <w:rFonts w:ascii="黑体" w:hAnsi="黑体" w:eastAsia="黑体" w:cs="黑体"/>
          <w:sz w:val="32"/>
          <w:szCs w:val="32"/>
        </w:rPr>
      </w:pPr>
      <w:r>
        <w:rPr>
          <w:rFonts w:hint="eastAsia" w:ascii="黑体" w:hAnsi="黑体" w:eastAsia="黑体" w:cs="黑体"/>
          <w:sz w:val="32"/>
          <w:szCs w:val="32"/>
        </w:rPr>
        <w:t>三、香港大学经管学院（深圳）相关情况</w:t>
      </w:r>
    </w:p>
    <w:p>
      <w:pPr>
        <w:keepNext w:val="0"/>
        <w:keepLines w:val="0"/>
        <w:pageBreakBefore w:val="0"/>
        <w:widowControl w:val="0"/>
        <w:kinsoku/>
        <w:wordWrap/>
        <w:overflowPunct/>
        <w:topLinePunct w:val="0"/>
        <w:autoSpaceDE/>
        <w:autoSpaceDN/>
        <w:bidi w:val="0"/>
        <w:adjustRightInd/>
        <w:snapToGrid/>
        <w:spacing w:line="579" w:lineRule="exact"/>
        <w:ind w:firstLine="640" w:firstLineChars="200"/>
        <w:textAlignment w:val="auto"/>
        <w:rPr>
          <w:rFonts w:hint="default"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根据协议，在香港大学经管学院（深圳）成立前，由港大教育信息咨询（深圳）有限公司作为香港大学经管学院深圳校区（以下简称校区）在福田先行开展培训、咨询、科研等工作。</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2024年3月，福田区委机构编制委员会正式批复设立香港大学经济及工商管理学院（福田），由于国家事业单位注册系统关闭，直至2025年3月系统开放。5月底，校区完成二类事业单位登记工作。</w:t>
      </w:r>
    </w:p>
    <w:p>
      <w:pPr>
        <w:keepNext w:val="0"/>
        <w:keepLines w:val="0"/>
        <w:pageBreakBefore w:val="0"/>
        <w:widowControl w:val="0"/>
        <w:kinsoku/>
        <w:wordWrap/>
        <w:overflowPunct/>
        <w:topLinePunct w:val="0"/>
        <w:autoSpaceDE/>
        <w:autoSpaceDN/>
        <w:bidi w:val="0"/>
        <w:adjustRightInd/>
        <w:snapToGrid/>
        <w:spacing w:line="579" w:lineRule="exact"/>
        <w:ind w:firstLine="640" w:firstLineChars="200"/>
        <w:textAlignment w:val="auto"/>
        <w:rPr>
          <w:rFonts w:ascii="楷体_GB2312" w:hAnsi="楷体_GB2312" w:eastAsia="楷体_GB2312" w:cs="楷体_GB2312"/>
          <w:sz w:val="32"/>
          <w:szCs w:val="32"/>
          <w:highlight w:val="none"/>
        </w:rPr>
      </w:pPr>
      <w:r>
        <w:rPr>
          <w:rFonts w:hint="eastAsia" w:ascii="楷体_GB2312" w:hAnsi="楷体_GB2312" w:eastAsia="楷体_GB2312" w:cs="楷体_GB2312"/>
          <w:sz w:val="32"/>
          <w:szCs w:val="32"/>
          <w:highlight w:val="none"/>
        </w:rPr>
        <w:t>（一）校区总体发展情况</w:t>
      </w:r>
    </w:p>
    <w:p>
      <w:pPr>
        <w:keepNext w:val="0"/>
        <w:keepLines w:val="0"/>
        <w:pageBreakBefore w:val="0"/>
        <w:widowControl w:val="0"/>
        <w:kinsoku/>
        <w:wordWrap/>
        <w:overflowPunct/>
        <w:topLinePunct w:val="0"/>
        <w:autoSpaceDE/>
        <w:autoSpaceDN/>
        <w:bidi w:val="0"/>
        <w:adjustRightInd/>
        <w:snapToGrid/>
        <w:spacing w:line="579" w:lineRule="exact"/>
        <w:ind w:firstLine="640" w:firstLineChars="200"/>
        <w:textAlignment w:val="auto"/>
        <w:rPr>
          <w:rFonts w:hint="default" w:ascii="楷体_GB2312" w:hAnsi="楷体_GB2312" w:eastAsia="仿宋_GB2312" w:cs="楷体_GB2312"/>
          <w:b w:val="0"/>
          <w:bCs w:val="0"/>
          <w:sz w:val="32"/>
          <w:szCs w:val="32"/>
          <w:highlight w:val="none"/>
          <w:lang w:val="en-US" w:eastAsia="zh-CN"/>
        </w:rPr>
      </w:pPr>
      <w:r>
        <w:rPr>
          <w:rFonts w:hint="eastAsia" w:ascii="仿宋_GB2312" w:hAnsi="仿宋_GB2312" w:eastAsia="仿宋_GB2312" w:cs="仿宋_GB2312"/>
          <w:sz w:val="32"/>
          <w:szCs w:val="32"/>
          <w:highlight w:val="none"/>
        </w:rPr>
        <w:t>2022年11月，深圳校区正式启动运营，组建行政管理团队及教研团队，采取深圳-香港双城模式开展MBA、DBA等在职项目培训，</w:t>
      </w:r>
      <w:r>
        <w:rPr>
          <w:rFonts w:hint="eastAsia" w:ascii="仿宋_GB2312" w:hAnsi="仿宋_GB2312" w:eastAsia="仿宋_GB2312" w:cs="仿宋_GB2312"/>
          <w:sz w:val="32"/>
          <w:szCs w:val="32"/>
          <w:highlight w:val="none"/>
          <w:lang w:eastAsia="zh-CN"/>
        </w:rPr>
        <w:t>有效链接深港资源，积极发挥港大优势，充分开展教、研、创等多维度发展。</w:t>
      </w:r>
      <w:r>
        <w:rPr>
          <w:rFonts w:hint="eastAsia" w:ascii="仿宋_GB2312" w:hAnsi="仿宋_GB2312" w:eastAsia="仿宋_GB2312" w:cs="仿宋_GB2312"/>
          <w:sz w:val="32"/>
          <w:szCs w:val="32"/>
          <w:highlight w:val="none"/>
        </w:rPr>
        <w:t>校区内设立</w:t>
      </w:r>
      <w:r>
        <w:rPr>
          <w:rFonts w:hint="eastAsia" w:ascii="仿宋_GB2312" w:hAnsi="仿宋_GB2312" w:eastAsia="仿宋_GB2312" w:cs="仿宋_GB2312"/>
          <w:sz w:val="32"/>
          <w:szCs w:val="32"/>
          <w:highlight w:val="none"/>
          <w:lang w:eastAsia="zh-CN"/>
        </w:rPr>
        <w:t>的</w:t>
      </w:r>
      <w:r>
        <w:rPr>
          <w:rFonts w:hint="eastAsia" w:ascii="仿宋_GB2312" w:hAnsi="仿宋_GB2312" w:eastAsia="仿宋_GB2312" w:cs="仿宋_GB2312"/>
          <w:sz w:val="32"/>
          <w:szCs w:val="32"/>
          <w:highlight w:val="none"/>
        </w:rPr>
        <w:t>创业孵化中心，为粤港澳优秀创业团队提供产、研、融一体化孵化服务，帮助创业企业实现成果转化。</w:t>
      </w:r>
      <w:r>
        <w:rPr>
          <w:rFonts w:hint="eastAsia" w:ascii="仿宋_GB2312" w:hAnsi="仿宋_GB2312" w:eastAsia="仿宋_GB2312" w:cs="仿宋_GB2312"/>
          <w:b/>
          <w:bCs/>
          <w:sz w:val="32"/>
          <w:szCs w:val="32"/>
          <w:highlight w:val="none"/>
          <w:lang w:eastAsia="zh-CN"/>
        </w:rPr>
        <w:t>一是行政管理团队、研究机构组建工作已完成，逐步提升自我造血能力。</w:t>
      </w:r>
      <w:r>
        <w:rPr>
          <w:rFonts w:hint="eastAsia" w:ascii="仿宋_GB2312" w:hAnsi="仿宋_GB2312" w:eastAsia="仿宋_GB2312" w:cs="仿宋_GB2312"/>
          <w:sz w:val="32"/>
          <w:szCs w:val="32"/>
          <w:highlight w:val="none"/>
          <w:lang w:eastAsia="zh-CN"/>
        </w:rPr>
        <w:t>截至</w:t>
      </w:r>
      <w:r>
        <w:rPr>
          <w:rFonts w:hint="eastAsia" w:ascii="仿宋_GB2312" w:hAnsi="仿宋_GB2312" w:eastAsia="仿宋_GB2312" w:cs="仿宋_GB2312"/>
          <w:sz w:val="32"/>
          <w:szCs w:val="32"/>
          <w:highlight w:val="none"/>
          <w:lang w:val="en-US" w:eastAsia="zh-CN"/>
        </w:rPr>
        <w:t>2024年12月，校区共有全职员工41人，已完成金融科技、数字经济、人工智能、智慧医疗、ESG、经济战略发展六大研究院的组建，通过鼓励香港大学经管学院的教授在校区开展课题研究兼职工作，引进教授、副教授和助理教授共64名开展课题研究工作，并通过24个在研项目累计引进科研人员191名（现在职人数15名）；2024年度实现收入约2650万元，较2023年收入1192万元相比，增长122%，校区运营能力逐步提升。</w:t>
      </w:r>
      <w:r>
        <w:rPr>
          <w:rFonts w:hint="eastAsia" w:ascii="仿宋_GB2312" w:hAnsi="仿宋_GB2312" w:eastAsia="仿宋_GB2312" w:cs="仿宋_GB2312"/>
          <w:b/>
          <w:bCs/>
          <w:sz w:val="32"/>
          <w:szCs w:val="32"/>
          <w:highlight w:val="none"/>
          <w:lang w:val="en-US" w:eastAsia="zh-CN"/>
        </w:rPr>
        <w:t>二是学术交流活动与国际论坛、决策咨询工作有序推进。</w:t>
      </w:r>
      <w:r>
        <w:rPr>
          <w:rFonts w:hint="eastAsia" w:ascii="仿宋_GB2312" w:hAnsi="仿宋_GB2312" w:eastAsia="仿宋_GB2312" w:cs="仿宋_GB2312"/>
          <w:b w:val="0"/>
          <w:bCs w:val="0"/>
          <w:sz w:val="32"/>
          <w:szCs w:val="32"/>
          <w:highlight w:val="none"/>
          <w:lang w:val="en-US" w:eastAsia="zh-CN"/>
        </w:rPr>
        <w:t>2024年校区共举办以世界经济挑战与机遇、企业风险管理、科技创新等为主题的学术交流活动10场，受众主要为港大师生、本地企业代表等；校区产出政策咨询报告/政策建议报告11篇，主题涉及产业政策、低空经济、AI等领域，并提交至区相关职能部门。</w:t>
      </w:r>
      <w:r>
        <w:rPr>
          <w:rFonts w:hint="eastAsia" w:ascii="仿宋_GB2312" w:hAnsi="仿宋_GB2312" w:eastAsia="仿宋_GB2312" w:cs="仿宋_GB2312"/>
          <w:b/>
          <w:bCs/>
          <w:sz w:val="32"/>
          <w:szCs w:val="32"/>
          <w:highlight w:val="none"/>
          <w:lang w:val="en-US" w:eastAsia="zh-CN"/>
        </w:rPr>
        <w:t>三是高端人才培训与我区实现有效链接。</w:t>
      </w:r>
      <w:r>
        <w:rPr>
          <w:rFonts w:hint="eastAsia" w:ascii="仿宋_GB2312" w:hAnsi="仿宋_GB2312" w:eastAsia="仿宋_GB2312" w:cs="仿宋_GB2312"/>
          <w:b w:val="0"/>
          <w:bCs w:val="0"/>
          <w:sz w:val="32"/>
          <w:szCs w:val="32"/>
          <w:highlight w:val="none"/>
          <w:lang w:val="en-US" w:eastAsia="zh-CN"/>
        </w:rPr>
        <w:t>校区围绕福田区需求，紧跟时代发展的潮流，邀请了十余位教授及讲师开展了“福田区新阶层人士点燃学习赋能计划”“福田区委干部培训”“人工智能助力产业升级”“鲲鹏学院讲堂”“莲花街道先锋讲堂”等培训，参训人数超900人。</w:t>
      </w:r>
      <w:r>
        <w:rPr>
          <w:rFonts w:hint="eastAsia" w:ascii="仿宋_GB2312" w:hAnsi="仿宋_GB2312" w:eastAsia="仿宋_GB2312" w:cs="仿宋_GB2312"/>
          <w:b/>
          <w:bCs/>
          <w:sz w:val="32"/>
          <w:szCs w:val="32"/>
          <w:highlight w:val="none"/>
          <w:lang w:val="en-US" w:eastAsia="zh-CN"/>
        </w:rPr>
        <w:t>四是企业孵化运营工作进展符合预期。</w:t>
      </w:r>
      <w:r>
        <w:rPr>
          <w:rFonts w:hint="eastAsia" w:ascii="仿宋_GB2312" w:hAnsi="仿宋_GB2312" w:eastAsia="仿宋_GB2312" w:cs="仿宋_GB2312"/>
          <w:b w:val="0"/>
          <w:bCs w:val="0"/>
          <w:sz w:val="32"/>
          <w:szCs w:val="32"/>
          <w:highlight w:val="none"/>
          <w:lang w:val="en-US" w:eastAsia="zh-CN"/>
        </w:rPr>
        <w:t>校区“元创谷”孵化基地累计吸引14个科技创新企业团队入驻，其中11个项目注册地在我区，港澳青年创业项目3个。孵化进度方面，已毕业项目1个，已清退/待清退项目3个，剩余10个项目孵化工作推进中。</w:t>
      </w:r>
    </w:p>
    <w:p>
      <w:pPr>
        <w:keepNext w:val="0"/>
        <w:keepLines w:val="0"/>
        <w:pageBreakBefore w:val="0"/>
        <w:widowControl w:val="0"/>
        <w:kinsoku/>
        <w:wordWrap/>
        <w:overflowPunct/>
        <w:topLinePunct w:val="0"/>
        <w:autoSpaceDE/>
        <w:autoSpaceDN/>
        <w:bidi w:val="0"/>
        <w:adjustRightInd/>
        <w:snapToGrid/>
        <w:spacing w:line="579" w:lineRule="exact"/>
        <w:ind w:firstLine="640" w:firstLineChars="200"/>
        <w:textAlignment w:val="auto"/>
        <w:rPr>
          <w:rFonts w:ascii="楷体_GB2312" w:hAnsi="楷体_GB2312" w:eastAsia="楷体_GB2312" w:cs="楷体_GB2312"/>
          <w:sz w:val="32"/>
          <w:szCs w:val="32"/>
          <w:highlight w:val="none"/>
        </w:rPr>
      </w:pPr>
      <w:r>
        <w:rPr>
          <w:rFonts w:hint="eastAsia" w:ascii="楷体_GB2312" w:hAnsi="楷体_GB2312" w:eastAsia="楷体_GB2312" w:cs="楷体_GB2312"/>
          <w:sz w:val="32"/>
          <w:szCs w:val="32"/>
          <w:highlight w:val="none"/>
        </w:rPr>
        <w:t>（二）议定事项完成情况</w:t>
      </w:r>
    </w:p>
    <w:p>
      <w:pPr>
        <w:keepNext w:val="0"/>
        <w:keepLines w:val="0"/>
        <w:pageBreakBefore w:val="0"/>
        <w:widowControl w:val="0"/>
        <w:kinsoku/>
        <w:wordWrap/>
        <w:overflowPunct/>
        <w:topLinePunct w:val="0"/>
        <w:autoSpaceDE/>
        <w:autoSpaceDN/>
        <w:bidi w:val="0"/>
        <w:adjustRightInd/>
        <w:snapToGrid/>
        <w:spacing w:line="579" w:lineRule="exact"/>
        <w:ind w:firstLine="640"/>
        <w:textAlignment w:val="auto"/>
        <w:rPr>
          <w:rFonts w:hint="eastAsia" w:ascii="宋体" w:hAnsi="宋体" w:eastAsia="宋体" w:cs="宋体"/>
          <w:b/>
          <w:bCs/>
          <w:sz w:val="24"/>
        </w:rPr>
      </w:pPr>
      <w:r>
        <w:rPr>
          <w:rFonts w:hint="eastAsia" w:ascii="仿宋_GB2312" w:hAnsi="仿宋_GB2312" w:eastAsia="仿宋_GB2312" w:cs="仿宋_GB2312"/>
          <w:sz w:val="32"/>
          <w:szCs w:val="32"/>
          <w:highlight w:val="none"/>
          <w:lang w:val="en-US" w:eastAsia="zh-CN"/>
        </w:rPr>
        <w:t>2024年，议定事项中研究机构组建、学术活动、决策咨询报告、创新孵化、人才团队引进基本符合预期。高端人才培训部分指标未完成，</w:t>
      </w:r>
      <w:r>
        <w:rPr>
          <w:rFonts w:hint="eastAsia" w:ascii="仿宋_GB2312" w:hAnsi="仿宋_GB2312" w:eastAsia="仿宋_GB2312" w:cs="仿宋_GB2312"/>
          <w:sz w:val="32"/>
          <w:szCs w:val="32"/>
          <w:highlight w:val="none"/>
        </w:rPr>
        <w:t>2021-2022年部分暂未完成</w:t>
      </w:r>
      <w:r>
        <w:rPr>
          <w:rFonts w:hint="eastAsia" w:ascii="仿宋_GB2312" w:hAnsi="仿宋_GB2312" w:eastAsia="仿宋_GB2312" w:cs="仿宋_GB2312"/>
          <w:sz w:val="32"/>
          <w:szCs w:val="32"/>
          <w:highlight w:val="none"/>
          <w:lang w:eastAsia="zh-CN"/>
        </w:rPr>
        <w:t>的</w:t>
      </w:r>
      <w:r>
        <w:rPr>
          <w:rFonts w:hint="eastAsia" w:ascii="仿宋_GB2312" w:hAnsi="仿宋_GB2312" w:eastAsia="仿宋_GB2312" w:cs="仿宋_GB2312"/>
          <w:sz w:val="32"/>
          <w:szCs w:val="32"/>
          <w:highlight w:val="none"/>
        </w:rPr>
        <w:t>议定事项</w:t>
      </w:r>
      <w:r>
        <w:rPr>
          <w:rFonts w:hint="eastAsia" w:ascii="仿宋_GB2312" w:hAnsi="仿宋_GB2312" w:eastAsia="仿宋_GB2312" w:cs="仿宋_GB2312"/>
          <w:sz w:val="32"/>
          <w:szCs w:val="32"/>
          <w:highlight w:val="none"/>
          <w:lang w:eastAsia="zh-CN"/>
        </w:rPr>
        <w:t>将</w:t>
      </w:r>
      <w:r>
        <w:rPr>
          <w:rFonts w:hint="eastAsia" w:ascii="仿宋_GB2312" w:hAnsi="仿宋_GB2312" w:eastAsia="仿宋_GB2312" w:cs="仿宋_GB2312"/>
          <w:sz w:val="32"/>
          <w:szCs w:val="32"/>
          <w:highlight w:val="none"/>
        </w:rPr>
        <w:t>于合作期限内逐项补齐（详见表3）。</w:t>
      </w:r>
    </w:p>
    <w:p>
      <w:pPr>
        <w:keepNext w:val="0"/>
        <w:keepLines w:val="0"/>
        <w:pageBreakBefore w:val="0"/>
        <w:widowControl w:val="0"/>
        <w:kinsoku/>
        <w:wordWrap/>
        <w:overflowPunct/>
        <w:topLinePunct w:val="0"/>
        <w:autoSpaceDE/>
        <w:autoSpaceDN/>
        <w:bidi w:val="0"/>
        <w:adjustRightInd/>
        <w:snapToGrid/>
        <w:spacing w:line="579" w:lineRule="exact"/>
        <w:jc w:val="center"/>
        <w:textAlignment w:val="auto"/>
        <w:rPr>
          <w:rFonts w:ascii="宋体" w:hAnsi="宋体" w:eastAsia="宋体" w:cs="宋体"/>
          <w:b/>
          <w:bCs/>
          <w:sz w:val="24"/>
        </w:rPr>
      </w:pPr>
      <w:r>
        <w:rPr>
          <w:rFonts w:hint="eastAsia" w:ascii="宋体" w:hAnsi="宋体" w:eastAsia="宋体" w:cs="宋体"/>
          <w:b/>
          <w:bCs/>
          <w:sz w:val="24"/>
        </w:rPr>
        <w:t>表3：香港大学经管学院（深圳）议定事项完成情况一览表</w:t>
      </w:r>
    </w:p>
    <w:tbl>
      <w:tblPr>
        <w:tblStyle w:val="6"/>
        <w:tblpPr w:leftFromText="180" w:rightFromText="180" w:vertAnchor="text" w:horzAnchor="page" w:tblpX="1777" w:tblpY="272"/>
        <w:tblOverlap w:val="never"/>
        <w:tblW w:w="90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7"/>
        <w:gridCol w:w="2776"/>
        <w:gridCol w:w="2399"/>
        <w:gridCol w:w="30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7" w:type="dxa"/>
            <w:vAlign w:val="center"/>
          </w:tcPr>
          <w:p>
            <w:pPr>
              <w:spacing w:line="400" w:lineRule="exact"/>
              <w:jc w:val="center"/>
              <w:rPr>
                <w:rFonts w:hint="eastAsia" w:ascii="黑体" w:hAnsi="黑体" w:eastAsia="黑体" w:cs="黑体"/>
                <w:sz w:val="24"/>
              </w:rPr>
            </w:pPr>
            <w:r>
              <w:rPr>
                <w:rFonts w:hint="eastAsia" w:ascii="黑体" w:hAnsi="黑体" w:eastAsia="黑体" w:cs="黑体"/>
                <w:sz w:val="24"/>
              </w:rPr>
              <w:t>序号</w:t>
            </w:r>
          </w:p>
        </w:tc>
        <w:tc>
          <w:tcPr>
            <w:tcW w:w="2776" w:type="dxa"/>
            <w:vAlign w:val="center"/>
          </w:tcPr>
          <w:p>
            <w:pPr>
              <w:spacing w:line="400" w:lineRule="exact"/>
              <w:jc w:val="center"/>
              <w:rPr>
                <w:rFonts w:hint="eastAsia" w:ascii="黑体" w:hAnsi="黑体" w:eastAsia="黑体" w:cs="黑体"/>
                <w:sz w:val="24"/>
              </w:rPr>
            </w:pPr>
            <w:r>
              <w:rPr>
                <w:rFonts w:hint="eastAsia" w:ascii="黑体" w:hAnsi="黑体" w:eastAsia="黑体" w:cs="黑体"/>
                <w:sz w:val="24"/>
              </w:rPr>
              <w:t>议定事项</w:t>
            </w:r>
          </w:p>
        </w:tc>
        <w:tc>
          <w:tcPr>
            <w:tcW w:w="2399" w:type="dxa"/>
            <w:vAlign w:val="center"/>
          </w:tcPr>
          <w:p>
            <w:pPr>
              <w:spacing w:line="400" w:lineRule="exact"/>
              <w:jc w:val="center"/>
              <w:rPr>
                <w:rFonts w:hint="eastAsia" w:ascii="黑体" w:hAnsi="黑体" w:eastAsia="黑体" w:cs="黑体"/>
                <w:sz w:val="24"/>
                <w:lang w:val="en-US" w:eastAsia="zh-CN"/>
              </w:rPr>
            </w:pPr>
            <w:r>
              <w:rPr>
                <w:rFonts w:hint="eastAsia" w:ascii="黑体" w:hAnsi="黑体" w:eastAsia="黑体" w:cs="黑体"/>
                <w:sz w:val="24"/>
                <w:lang w:val="en-US" w:eastAsia="zh-CN"/>
              </w:rPr>
              <w:t>2024年完成情况</w:t>
            </w:r>
          </w:p>
        </w:tc>
        <w:tc>
          <w:tcPr>
            <w:tcW w:w="3072" w:type="dxa"/>
            <w:vAlign w:val="center"/>
          </w:tcPr>
          <w:p>
            <w:pPr>
              <w:spacing w:line="400" w:lineRule="exact"/>
              <w:jc w:val="center"/>
              <w:rPr>
                <w:rFonts w:hint="eastAsia" w:ascii="黑体" w:hAnsi="黑体" w:eastAsia="黑体" w:cs="黑体"/>
                <w:sz w:val="24"/>
              </w:rPr>
            </w:pPr>
            <w:r>
              <w:rPr>
                <w:rFonts w:hint="eastAsia" w:ascii="黑体" w:hAnsi="黑体" w:eastAsia="黑体" w:cs="黑体"/>
                <w:sz w:val="24"/>
              </w:rPr>
              <w:t>自协议签署之日起</w:t>
            </w:r>
          </w:p>
          <w:p>
            <w:pPr>
              <w:spacing w:line="400" w:lineRule="exact"/>
              <w:jc w:val="center"/>
              <w:rPr>
                <w:rFonts w:hint="eastAsia" w:ascii="黑体" w:hAnsi="黑体" w:eastAsia="黑体" w:cs="黑体"/>
                <w:sz w:val="24"/>
              </w:rPr>
            </w:pPr>
            <w:r>
              <w:rPr>
                <w:rFonts w:hint="eastAsia" w:ascii="黑体" w:hAnsi="黑体" w:eastAsia="黑体" w:cs="黑体"/>
                <w:sz w:val="24"/>
              </w:rPr>
              <w:t>累计完成情况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7"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Fonts w:hint="eastAsia" w:ascii="仿宋_GB2312" w:hAnsi="仿宋_GB2312" w:eastAsia="仿宋_GB2312" w:cs="仿宋_GB2312"/>
                <w:b w:val="0"/>
                <w:bCs w:val="0"/>
                <w:i w:val="0"/>
                <w:iCs w:val="0"/>
                <w:color w:val="000000"/>
                <w:kern w:val="0"/>
                <w:sz w:val="24"/>
                <w:szCs w:val="24"/>
                <w:u w:val="none"/>
                <w:lang w:val="en-US" w:eastAsia="zh-CN" w:bidi="ar"/>
              </w:rPr>
            </w:pPr>
            <w:r>
              <w:rPr>
                <w:rFonts w:hint="eastAsia" w:ascii="仿宋_GB2312" w:hAnsi="仿宋_GB2312" w:eastAsia="仿宋_GB2312" w:cs="仿宋_GB2312"/>
                <w:b w:val="0"/>
                <w:bCs w:val="0"/>
                <w:i w:val="0"/>
                <w:iCs w:val="0"/>
                <w:color w:val="000000"/>
                <w:kern w:val="0"/>
                <w:sz w:val="24"/>
                <w:szCs w:val="24"/>
                <w:u w:val="none"/>
                <w:lang w:val="en-US" w:eastAsia="zh-CN" w:bidi="ar"/>
              </w:rPr>
              <w:t>1</w:t>
            </w:r>
          </w:p>
        </w:tc>
        <w:tc>
          <w:tcPr>
            <w:tcW w:w="2776" w:type="dxa"/>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left"/>
              <w:textAlignment w:val="center"/>
              <w:rPr>
                <w:rFonts w:hint="eastAsia" w:ascii="仿宋_GB2312" w:hAnsi="仿宋_GB2312" w:eastAsia="仿宋_GB2312" w:cs="仿宋_GB2312"/>
                <w:b w:val="0"/>
                <w:bCs w:val="0"/>
                <w:i w:val="0"/>
                <w:iCs w:val="0"/>
                <w:color w:val="000000"/>
                <w:kern w:val="0"/>
                <w:sz w:val="24"/>
                <w:szCs w:val="24"/>
                <w:u w:val="none"/>
                <w:lang w:val="en-US" w:eastAsia="zh-CN" w:bidi="ar"/>
              </w:rPr>
            </w:pPr>
            <w:r>
              <w:rPr>
                <w:rFonts w:hint="eastAsia" w:ascii="仿宋_GB2312" w:hAnsi="仿宋_GB2312" w:eastAsia="仿宋_GB2312" w:cs="仿宋_GB2312"/>
                <w:b w:val="0"/>
                <w:bCs w:val="0"/>
                <w:i w:val="0"/>
                <w:iCs w:val="0"/>
                <w:color w:val="000000"/>
                <w:kern w:val="0"/>
                <w:sz w:val="24"/>
                <w:szCs w:val="24"/>
                <w:u w:val="none"/>
                <w:lang w:val="en-US" w:eastAsia="zh-CN" w:bidi="ar"/>
              </w:rPr>
              <w:t>决策参考，每年不少于10项。</w:t>
            </w:r>
          </w:p>
        </w:tc>
        <w:tc>
          <w:tcPr>
            <w:tcW w:w="2399" w:type="dxa"/>
          </w:tcPr>
          <w:p>
            <w:pPr>
              <w:spacing w:line="400" w:lineRule="exact"/>
              <w:rPr>
                <w:rFonts w:hint="eastAsia" w:ascii="仿宋_GB2312" w:hAnsi="仿宋_GB2312" w:eastAsia="仿宋_GB2312" w:cs="仿宋_GB2312"/>
                <w:b/>
                <w:bCs/>
                <w:sz w:val="24"/>
                <w:lang w:val="en-US" w:eastAsia="zh-CN"/>
              </w:rPr>
            </w:pPr>
            <w:r>
              <w:rPr>
                <w:rFonts w:hint="eastAsia" w:ascii="仿宋_GB2312" w:hAnsi="仿宋_GB2312" w:eastAsia="仿宋_GB2312" w:cs="仿宋_GB2312"/>
                <w:b/>
                <w:bCs/>
                <w:sz w:val="24"/>
                <w:lang w:val="en-US" w:eastAsia="zh-CN"/>
              </w:rPr>
              <w:t>完成。</w:t>
            </w:r>
            <w:r>
              <w:rPr>
                <w:rFonts w:hint="eastAsia" w:ascii="仿宋_GB2312" w:hAnsi="仿宋_GB2312" w:eastAsia="仿宋_GB2312" w:cs="仿宋_GB2312"/>
                <w:b w:val="0"/>
                <w:bCs w:val="0"/>
                <w:sz w:val="24"/>
                <w:lang w:val="en-US" w:eastAsia="zh-CN"/>
              </w:rPr>
              <w:t>11项</w:t>
            </w:r>
          </w:p>
        </w:tc>
        <w:tc>
          <w:tcPr>
            <w:tcW w:w="3072" w:type="dxa"/>
          </w:tcPr>
          <w:p>
            <w:pPr>
              <w:spacing w:line="400" w:lineRule="exact"/>
              <w:rPr>
                <w:rFonts w:hint="default" w:ascii="仿宋_GB2312" w:hAnsi="仿宋_GB2312" w:eastAsia="仿宋_GB2312" w:cs="仿宋_GB2312"/>
                <w:b w:val="0"/>
                <w:bCs w:val="0"/>
                <w:sz w:val="24"/>
                <w:lang w:val="en-US" w:eastAsia="zh-CN"/>
              </w:rPr>
            </w:pPr>
            <w:r>
              <w:rPr>
                <w:rFonts w:hint="eastAsia" w:ascii="仿宋_GB2312" w:hAnsi="仿宋_GB2312" w:eastAsia="仿宋_GB2312" w:cs="仿宋_GB2312"/>
                <w:b/>
                <w:bCs/>
                <w:sz w:val="24"/>
                <w:lang w:eastAsia="zh-CN"/>
              </w:rPr>
              <w:t>推进中。</w:t>
            </w:r>
            <w:r>
              <w:rPr>
                <w:rFonts w:hint="eastAsia" w:ascii="仿宋_GB2312" w:hAnsi="仿宋_GB2312" w:eastAsia="仿宋_GB2312" w:cs="仿宋_GB2312"/>
                <w:b w:val="0"/>
                <w:bCs w:val="0"/>
                <w:sz w:val="24"/>
                <w:lang w:eastAsia="zh-CN"/>
              </w:rPr>
              <w:t>累计完成</w:t>
            </w:r>
            <w:r>
              <w:rPr>
                <w:rFonts w:hint="eastAsia" w:ascii="仿宋_GB2312" w:hAnsi="仿宋_GB2312" w:eastAsia="仿宋_GB2312" w:cs="仿宋_GB2312"/>
                <w:b w:val="0"/>
                <w:bCs w:val="0"/>
                <w:sz w:val="24"/>
                <w:lang w:val="en-US" w:eastAsia="zh-CN"/>
              </w:rPr>
              <w:t>21项，需补齐2021-2022年数量。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7" w:type="dxa"/>
            <w:vMerge w:val="restart"/>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Fonts w:hint="eastAsia" w:ascii="仿宋_GB2312" w:hAnsi="仿宋_GB2312" w:eastAsia="仿宋_GB2312" w:cs="仿宋_GB2312"/>
                <w:b w:val="0"/>
                <w:bCs w:val="0"/>
                <w:i w:val="0"/>
                <w:iCs w:val="0"/>
                <w:color w:val="000000"/>
                <w:kern w:val="0"/>
                <w:sz w:val="24"/>
                <w:szCs w:val="24"/>
                <w:u w:val="none"/>
                <w:lang w:val="en-US" w:eastAsia="zh-CN" w:bidi="ar"/>
              </w:rPr>
            </w:pPr>
            <w:r>
              <w:rPr>
                <w:rFonts w:hint="eastAsia" w:ascii="仿宋_GB2312" w:hAnsi="仿宋_GB2312" w:eastAsia="仿宋_GB2312" w:cs="仿宋_GB2312"/>
                <w:b w:val="0"/>
                <w:bCs w:val="0"/>
                <w:i w:val="0"/>
                <w:iCs w:val="0"/>
                <w:color w:val="000000"/>
                <w:kern w:val="0"/>
                <w:sz w:val="24"/>
                <w:szCs w:val="24"/>
                <w:u w:val="none"/>
                <w:lang w:val="en-US" w:eastAsia="zh-CN" w:bidi="ar"/>
              </w:rPr>
              <w:t>2</w:t>
            </w:r>
          </w:p>
        </w:tc>
        <w:tc>
          <w:tcPr>
            <w:tcW w:w="2776"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left"/>
              <w:textAlignment w:val="center"/>
              <w:rPr>
                <w:rFonts w:hint="eastAsia" w:ascii="仿宋_GB2312" w:hAnsi="仿宋_GB2312" w:eastAsia="仿宋_GB2312" w:cs="仿宋_GB2312"/>
                <w:b w:val="0"/>
                <w:bCs w:val="0"/>
                <w:i w:val="0"/>
                <w:iCs w:val="0"/>
                <w:color w:val="000000"/>
                <w:kern w:val="0"/>
                <w:sz w:val="24"/>
                <w:szCs w:val="24"/>
                <w:u w:val="none"/>
                <w:lang w:val="en-US" w:eastAsia="zh-CN" w:bidi="ar"/>
              </w:rPr>
            </w:pPr>
            <w:r>
              <w:rPr>
                <w:rFonts w:hint="eastAsia" w:ascii="仿宋_GB2312" w:hAnsi="仿宋_GB2312" w:eastAsia="仿宋_GB2312" w:cs="仿宋_GB2312"/>
                <w:b w:val="0"/>
                <w:bCs w:val="0"/>
                <w:i w:val="0"/>
                <w:iCs w:val="0"/>
                <w:color w:val="000000"/>
                <w:kern w:val="0"/>
                <w:sz w:val="24"/>
                <w:szCs w:val="24"/>
                <w:u w:val="none"/>
                <w:lang w:val="en-US" w:eastAsia="zh-CN" w:bidi="ar"/>
              </w:rPr>
              <w:t>2-1.每年邀请不少于50位教授开展教研工作。</w:t>
            </w:r>
          </w:p>
        </w:tc>
        <w:tc>
          <w:tcPr>
            <w:tcW w:w="2399" w:type="dxa"/>
          </w:tcPr>
          <w:p>
            <w:pPr>
              <w:spacing w:line="400" w:lineRule="exact"/>
              <w:rPr>
                <w:rFonts w:hint="eastAsia" w:ascii="仿宋_GB2312" w:hAnsi="仿宋_GB2312" w:eastAsia="仿宋_GB2312" w:cs="仿宋_GB2312"/>
                <w:sz w:val="24"/>
                <w:lang w:val="en-US" w:eastAsia="zh-CN"/>
              </w:rPr>
            </w:pPr>
            <w:r>
              <w:rPr>
                <w:rFonts w:hint="eastAsia" w:ascii="仿宋_GB2312" w:hAnsi="仿宋_GB2312" w:eastAsia="仿宋_GB2312" w:cs="仿宋_GB2312"/>
                <w:b/>
                <w:bCs/>
                <w:sz w:val="24"/>
              </w:rPr>
              <w:t>完成。</w:t>
            </w:r>
            <w:r>
              <w:rPr>
                <w:rFonts w:hint="eastAsia" w:ascii="仿宋_GB2312" w:hAnsi="仿宋_GB2312" w:eastAsia="仿宋_GB2312" w:cs="仿宋_GB2312"/>
                <w:b w:val="0"/>
                <w:bCs w:val="0"/>
                <w:sz w:val="24"/>
                <w:lang w:val="en-US" w:eastAsia="zh-CN"/>
              </w:rPr>
              <w:t>吸引64位教授作为科研课题负责人或联席负责人</w:t>
            </w:r>
          </w:p>
        </w:tc>
        <w:tc>
          <w:tcPr>
            <w:tcW w:w="3072" w:type="dxa"/>
          </w:tcPr>
          <w:p>
            <w:pPr>
              <w:spacing w:line="400" w:lineRule="exact"/>
              <w:rPr>
                <w:rFonts w:hint="eastAsia" w:ascii="仿宋_GB2312" w:hAnsi="仿宋_GB2312" w:eastAsia="仿宋_GB2312" w:cs="仿宋_GB2312"/>
                <w:b w:val="0"/>
                <w:bCs w:val="0"/>
                <w:sz w:val="24"/>
                <w:lang w:val="en-US" w:eastAsia="zh-CN"/>
              </w:rPr>
            </w:pPr>
            <w:r>
              <w:rPr>
                <w:rFonts w:hint="eastAsia" w:ascii="仿宋_GB2312" w:hAnsi="仿宋_GB2312" w:eastAsia="仿宋_GB2312" w:cs="仿宋_GB2312"/>
                <w:b/>
                <w:bCs/>
                <w:sz w:val="24"/>
                <w:lang w:val="en-US" w:eastAsia="zh-CN"/>
              </w:rPr>
              <w:t>符合预期。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67" w:type="dxa"/>
            <w:vMerge w:val="continue"/>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Fonts w:hint="eastAsia" w:ascii="仿宋_GB2312" w:hAnsi="仿宋_GB2312" w:eastAsia="仿宋_GB2312" w:cs="仿宋_GB2312"/>
                <w:b w:val="0"/>
                <w:bCs w:val="0"/>
                <w:i w:val="0"/>
                <w:iCs w:val="0"/>
                <w:color w:val="000000"/>
                <w:kern w:val="0"/>
                <w:sz w:val="24"/>
                <w:szCs w:val="24"/>
                <w:u w:val="none"/>
                <w:lang w:val="en-US" w:eastAsia="zh-CN" w:bidi="ar"/>
              </w:rPr>
            </w:pPr>
          </w:p>
        </w:tc>
        <w:tc>
          <w:tcPr>
            <w:tcW w:w="2776"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left"/>
              <w:textAlignment w:val="center"/>
              <w:rPr>
                <w:rFonts w:hint="eastAsia" w:ascii="仿宋_GB2312" w:hAnsi="仿宋_GB2312" w:eastAsia="仿宋_GB2312" w:cs="仿宋_GB2312"/>
                <w:b w:val="0"/>
                <w:bCs w:val="0"/>
                <w:i w:val="0"/>
                <w:iCs w:val="0"/>
                <w:color w:val="000000"/>
                <w:kern w:val="0"/>
                <w:sz w:val="24"/>
                <w:szCs w:val="24"/>
                <w:u w:val="none"/>
                <w:lang w:val="en-US" w:eastAsia="zh-CN" w:bidi="ar"/>
              </w:rPr>
            </w:pPr>
            <w:r>
              <w:rPr>
                <w:rFonts w:hint="eastAsia" w:ascii="仿宋_GB2312" w:hAnsi="仿宋_GB2312" w:eastAsia="仿宋_GB2312" w:cs="仿宋_GB2312"/>
                <w:b w:val="0"/>
                <w:bCs w:val="0"/>
                <w:i w:val="0"/>
                <w:iCs w:val="0"/>
                <w:color w:val="000000"/>
                <w:kern w:val="0"/>
                <w:sz w:val="24"/>
                <w:szCs w:val="24"/>
                <w:u w:val="none"/>
                <w:lang w:val="en-US" w:eastAsia="zh-CN" w:bidi="ar"/>
              </w:rPr>
              <w:t>2-2.5年不少于60位博士后或研究国际化高端人才在深圳开展研究工作。</w:t>
            </w:r>
          </w:p>
        </w:tc>
        <w:tc>
          <w:tcPr>
            <w:tcW w:w="2399" w:type="dxa"/>
          </w:tcPr>
          <w:p>
            <w:pPr>
              <w:spacing w:line="400" w:lineRule="exact"/>
              <w:rPr>
                <w:rFonts w:hint="eastAsia" w:ascii="仿宋_GB2312" w:hAnsi="仿宋_GB2312" w:eastAsia="仿宋_GB2312" w:cs="仿宋_GB2312"/>
                <w:b/>
                <w:bCs/>
                <w:sz w:val="24"/>
              </w:rPr>
            </w:pPr>
            <w:r>
              <w:rPr>
                <w:rFonts w:hint="eastAsia" w:ascii="仿宋_GB2312" w:hAnsi="仿宋_GB2312" w:eastAsia="仿宋_GB2312" w:cs="仿宋_GB2312"/>
                <w:b/>
                <w:bCs/>
                <w:sz w:val="24"/>
                <w:lang w:eastAsia="zh-CN"/>
              </w:rPr>
              <w:t>推进中</w:t>
            </w:r>
            <w:r>
              <w:rPr>
                <w:rFonts w:hint="eastAsia" w:ascii="仿宋_GB2312" w:hAnsi="仿宋_GB2312" w:eastAsia="仿宋_GB2312" w:cs="仿宋_GB2312"/>
                <w:b/>
                <w:bCs/>
                <w:sz w:val="24"/>
              </w:rPr>
              <w:t>。</w:t>
            </w:r>
            <w:r>
              <w:rPr>
                <w:rFonts w:hint="eastAsia" w:ascii="仿宋_GB2312" w:hAnsi="仿宋_GB2312" w:eastAsia="仿宋_GB2312" w:cs="仿宋_GB2312"/>
                <w:b w:val="0"/>
                <w:bCs w:val="0"/>
                <w:sz w:val="24"/>
                <w:lang w:eastAsia="zh-CN"/>
              </w:rPr>
              <w:t>累计招聘</w:t>
            </w:r>
            <w:r>
              <w:rPr>
                <w:rFonts w:hint="eastAsia" w:ascii="仿宋_GB2312" w:hAnsi="仿宋_GB2312" w:eastAsia="仿宋_GB2312" w:cs="仿宋_GB2312"/>
                <w:b w:val="0"/>
                <w:bCs w:val="0"/>
                <w:sz w:val="24"/>
                <w:lang w:val="en-US" w:eastAsia="zh-CN"/>
              </w:rPr>
              <w:t>49名博士研究员（33人为海外留学博士）</w:t>
            </w:r>
          </w:p>
        </w:tc>
        <w:tc>
          <w:tcPr>
            <w:tcW w:w="3072" w:type="dxa"/>
          </w:tcPr>
          <w:p>
            <w:pPr>
              <w:spacing w:line="400" w:lineRule="exact"/>
              <w:rPr>
                <w:rFonts w:hint="eastAsia" w:ascii="仿宋_GB2312" w:hAnsi="仿宋_GB2312" w:eastAsia="仿宋_GB2312" w:cs="仿宋_GB2312"/>
                <w:b w:val="0"/>
                <w:bCs w:val="0"/>
                <w:sz w:val="24"/>
                <w:lang w:val="en-US" w:eastAsia="zh-CN"/>
              </w:rPr>
            </w:pPr>
            <w:r>
              <w:rPr>
                <w:rFonts w:hint="eastAsia" w:ascii="仿宋_GB2312" w:hAnsi="仿宋_GB2312" w:eastAsia="仿宋_GB2312" w:cs="仿宋_GB2312"/>
                <w:b/>
                <w:bCs/>
                <w:sz w:val="24"/>
                <w:lang w:eastAsia="zh-CN"/>
              </w:rPr>
              <w:t>推进基本符合预期。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7" w:type="dxa"/>
            <w:vMerge w:val="continue"/>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Fonts w:hint="eastAsia" w:ascii="仿宋_GB2312" w:hAnsi="仿宋_GB2312" w:eastAsia="仿宋_GB2312" w:cs="仿宋_GB2312"/>
                <w:b w:val="0"/>
                <w:bCs w:val="0"/>
                <w:i w:val="0"/>
                <w:iCs w:val="0"/>
                <w:color w:val="000000"/>
                <w:kern w:val="0"/>
                <w:sz w:val="24"/>
                <w:szCs w:val="24"/>
                <w:u w:val="none"/>
                <w:lang w:val="en-US" w:eastAsia="zh-CN" w:bidi="ar"/>
              </w:rPr>
            </w:pPr>
          </w:p>
        </w:tc>
        <w:tc>
          <w:tcPr>
            <w:tcW w:w="2776"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left"/>
              <w:textAlignment w:val="center"/>
              <w:rPr>
                <w:rFonts w:hint="eastAsia" w:ascii="仿宋_GB2312" w:hAnsi="仿宋_GB2312" w:eastAsia="仿宋_GB2312" w:cs="仿宋_GB2312"/>
                <w:b w:val="0"/>
                <w:bCs w:val="0"/>
                <w:i w:val="0"/>
                <w:iCs w:val="0"/>
                <w:color w:val="000000"/>
                <w:kern w:val="0"/>
                <w:sz w:val="24"/>
                <w:szCs w:val="24"/>
                <w:u w:val="none"/>
                <w:lang w:val="en-US" w:eastAsia="zh-CN" w:bidi="ar"/>
              </w:rPr>
            </w:pPr>
            <w:r>
              <w:rPr>
                <w:rFonts w:hint="eastAsia" w:ascii="仿宋_GB2312" w:hAnsi="仿宋_GB2312" w:eastAsia="仿宋_GB2312" w:cs="仿宋_GB2312"/>
                <w:b w:val="0"/>
                <w:bCs w:val="0"/>
                <w:i w:val="0"/>
                <w:iCs w:val="0"/>
                <w:color w:val="000000"/>
                <w:kern w:val="0"/>
                <w:sz w:val="24"/>
                <w:szCs w:val="24"/>
                <w:u w:val="none"/>
                <w:lang w:val="en-US" w:eastAsia="zh-CN" w:bidi="ar"/>
              </w:rPr>
              <w:t>2-3.5年内吸引不少于30位高层次海内外人才来深创业。</w:t>
            </w:r>
          </w:p>
        </w:tc>
        <w:tc>
          <w:tcPr>
            <w:tcW w:w="2399" w:type="dxa"/>
          </w:tcPr>
          <w:p>
            <w:pPr>
              <w:spacing w:line="400" w:lineRule="exact"/>
              <w:rPr>
                <w:rFonts w:hint="eastAsia" w:ascii="仿宋_GB2312" w:hAnsi="仿宋_GB2312" w:eastAsia="仿宋_GB2312" w:cs="仿宋_GB2312"/>
                <w:b/>
                <w:bCs/>
                <w:sz w:val="24"/>
              </w:rPr>
            </w:pPr>
            <w:r>
              <w:rPr>
                <w:rFonts w:hint="eastAsia" w:ascii="仿宋_GB2312" w:hAnsi="仿宋_GB2312" w:eastAsia="仿宋_GB2312" w:cs="仿宋_GB2312"/>
                <w:b/>
                <w:bCs/>
                <w:sz w:val="24"/>
                <w:lang w:eastAsia="zh-CN"/>
              </w:rPr>
              <w:t>推进中</w:t>
            </w:r>
            <w:r>
              <w:rPr>
                <w:rFonts w:hint="eastAsia" w:ascii="仿宋_GB2312" w:hAnsi="仿宋_GB2312" w:eastAsia="仿宋_GB2312" w:cs="仿宋_GB2312"/>
                <w:b/>
                <w:bCs/>
                <w:sz w:val="24"/>
              </w:rPr>
              <w:t>。</w:t>
            </w:r>
            <w:r>
              <w:rPr>
                <w:rFonts w:hint="eastAsia" w:ascii="仿宋_GB2312" w:hAnsi="仿宋_GB2312" w:eastAsia="仿宋_GB2312" w:cs="仿宋_GB2312"/>
                <w:b w:val="0"/>
                <w:bCs w:val="0"/>
                <w:sz w:val="24"/>
                <w:lang w:eastAsia="zh-CN"/>
              </w:rPr>
              <w:t>吸引</w:t>
            </w:r>
            <w:r>
              <w:rPr>
                <w:rFonts w:hint="eastAsia" w:ascii="仿宋_GB2312" w:hAnsi="仿宋_GB2312" w:eastAsia="仿宋_GB2312" w:cs="仿宋_GB2312"/>
                <w:b w:val="0"/>
                <w:bCs w:val="0"/>
                <w:sz w:val="24"/>
                <w:lang w:val="en-US" w:eastAsia="zh-CN"/>
              </w:rPr>
              <w:t>13位海外高层次人才来深创业，参与创新项目孵化</w:t>
            </w:r>
          </w:p>
        </w:tc>
        <w:tc>
          <w:tcPr>
            <w:tcW w:w="3072" w:type="dxa"/>
          </w:tcPr>
          <w:p>
            <w:pPr>
              <w:spacing w:line="400" w:lineRule="exact"/>
              <w:rPr>
                <w:rFonts w:hint="eastAsia" w:ascii="仿宋_GB2312" w:hAnsi="仿宋_GB2312" w:eastAsia="仿宋_GB2312" w:cs="仿宋_GB2312"/>
                <w:b/>
                <w:bCs/>
                <w:sz w:val="24"/>
                <w:lang w:val="en-US" w:eastAsia="zh-CN"/>
              </w:rPr>
            </w:pPr>
            <w:r>
              <w:rPr>
                <w:rFonts w:hint="eastAsia" w:ascii="仿宋_GB2312" w:hAnsi="仿宋_GB2312" w:eastAsia="仿宋_GB2312" w:cs="仿宋_GB2312"/>
                <w:b/>
                <w:bCs/>
                <w:sz w:val="24"/>
                <w:lang w:eastAsia="zh-CN"/>
              </w:rPr>
              <w:t>推进基本符合预期。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7" w:type="dxa"/>
            <w:vMerge w:val="restart"/>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Fonts w:hint="eastAsia" w:ascii="仿宋_GB2312" w:hAnsi="仿宋_GB2312" w:eastAsia="仿宋_GB2312" w:cs="仿宋_GB2312"/>
                <w:b w:val="0"/>
                <w:bCs w:val="0"/>
                <w:i w:val="0"/>
                <w:iCs w:val="0"/>
                <w:color w:val="000000"/>
                <w:kern w:val="0"/>
                <w:sz w:val="24"/>
                <w:szCs w:val="24"/>
                <w:u w:val="none"/>
                <w:lang w:val="en-US" w:eastAsia="zh-CN" w:bidi="ar"/>
              </w:rPr>
            </w:pPr>
            <w:r>
              <w:rPr>
                <w:rFonts w:hint="eastAsia" w:ascii="仿宋_GB2312" w:hAnsi="仿宋_GB2312" w:eastAsia="仿宋_GB2312" w:cs="仿宋_GB2312"/>
                <w:b w:val="0"/>
                <w:bCs w:val="0"/>
                <w:i w:val="0"/>
                <w:iCs w:val="0"/>
                <w:color w:val="000000"/>
                <w:kern w:val="0"/>
                <w:sz w:val="24"/>
                <w:szCs w:val="24"/>
                <w:u w:val="none"/>
                <w:lang w:val="en-US" w:eastAsia="zh-CN" w:bidi="ar"/>
              </w:rPr>
              <w:t>3</w:t>
            </w:r>
          </w:p>
        </w:tc>
        <w:tc>
          <w:tcPr>
            <w:tcW w:w="2776"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left"/>
              <w:textAlignment w:val="center"/>
              <w:rPr>
                <w:rFonts w:hint="eastAsia" w:ascii="仿宋_GB2312" w:hAnsi="仿宋_GB2312" w:eastAsia="仿宋_GB2312" w:cs="仿宋_GB2312"/>
                <w:b w:val="0"/>
                <w:bCs w:val="0"/>
                <w:i w:val="0"/>
                <w:iCs w:val="0"/>
                <w:color w:val="000000"/>
                <w:kern w:val="0"/>
                <w:sz w:val="24"/>
                <w:szCs w:val="24"/>
                <w:u w:val="none"/>
                <w:lang w:val="en-US" w:eastAsia="zh-CN" w:bidi="ar"/>
              </w:rPr>
            </w:pPr>
            <w:r>
              <w:rPr>
                <w:rFonts w:hint="eastAsia" w:ascii="仿宋_GB2312" w:hAnsi="仿宋_GB2312" w:eastAsia="仿宋_GB2312" w:cs="仿宋_GB2312"/>
                <w:b w:val="0"/>
                <w:bCs w:val="0"/>
                <w:i w:val="0"/>
                <w:iCs w:val="0"/>
                <w:color w:val="000000"/>
                <w:kern w:val="0"/>
                <w:sz w:val="24"/>
                <w:szCs w:val="24"/>
                <w:u w:val="none"/>
                <w:lang w:val="en-US" w:eastAsia="zh-CN" w:bidi="ar"/>
              </w:rPr>
              <w:t>3-1.高端经管人才教学项目每年约2000人。</w:t>
            </w:r>
          </w:p>
        </w:tc>
        <w:tc>
          <w:tcPr>
            <w:tcW w:w="2399" w:type="dxa"/>
          </w:tcPr>
          <w:p>
            <w:pPr>
              <w:spacing w:line="400" w:lineRule="exact"/>
              <w:rPr>
                <w:rFonts w:hint="eastAsia" w:ascii="仿宋_GB2312" w:hAnsi="仿宋_GB2312" w:eastAsia="仿宋_GB2312" w:cs="仿宋_GB2312"/>
                <w:sz w:val="24"/>
                <w:lang w:val="en-US" w:eastAsia="zh-CN"/>
              </w:rPr>
            </w:pPr>
            <w:r>
              <w:rPr>
                <w:rFonts w:hint="eastAsia" w:ascii="仿宋_GB2312" w:hAnsi="仿宋_GB2312" w:eastAsia="仿宋_GB2312" w:cs="仿宋_GB2312"/>
                <w:b/>
                <w:bCs/>
                <w:sz w:val="24"/>
                <w:lang w:eastAsia="zh-CN"/>
              </w:rPr>
              <w:t>部分</w:t>
            </w:r>
            <w:r>
              <w:rPr>
                <w:rFonts w:hint="eastAsia" w:ascii="仿宋_GB2312" w:hAnsi="仿宋_GB2312" w:eastAsia="仿宋_GB2312" w:cs="仿宋_GB2312"/>
                <w:b/>
                <w:bCs/>
                <w:sz w:val="24"/>
              </w:rPr>
              <w:t>完成。</w:t>
            </w:r>
            <w:r>
              <w:rPr>
                <w:rFonts w:hint="eastAsia" w:ascii="仿宋_GB2312" w:hAnsi="仿宋_GB2312" w:eastAsia="仿宋_GB2312" w:cs="仿宋_GB2312"/>
                <w:b w:val="0"/>
                <w:bCs w:val="0"/>
                <w:sz w:val="24"/>
                <w:lang w:val="en-US" w:eastAsia="zh-CN"/>
              </w:rPr>
              <w:t>966人次</w:t>
            </w:r>
          </w:p>
        </w:tc>
        <w:tc>
          <w:tcPr>
            <w:tcW w:w="3072" w:type="dxa"/>
          </w:tcPr>
          <w:p>
            <w:pPr>
              <w:spacing w:line="400" w:lineRule="exact"/>
              <w:rPr>
                <w:rFonts w:hint="eastAsia" w:ascii="仿宋_GB2312" w:hAnsi="仿宋_GB2312" w:eastAsia="仿宋_GB2312" w:cs="仿宋_GB2312"/>
                <w:b w:val="0"/>
                <w:bCs w:val="0"/>
                <w:sz w:val="24"/>
                <w:lang w:val="en-US" w:eastAsia="zh-CN"/>
              </w:rPr>
            </w:pPr>
            <w:r>
              <w:rPr>
                <w:rFonts w:hint="eastAsia" w:ascii="仿宋_GB2312" w:hAnsi="仿宋_GB2312" w:eastAsia="仿宋_GB2312" w:cs="仿宋_GB2312"/>
                <w:b/>
                <w:bCs/>
                <w:sz w:val="24"/>
                <w:lang w:eastAsia="zh-CN"/>
              </w:rPr>
              <w:t>未达预期。</w:t>
            </w:r>
            <w:r>
              <w:rPr>
                <w:rFonts w:hint="eastAsia" w:ascii="仿宋_GB2312" w:hAnsi="仿宋_GB2312" w:eastAsia="仿宋_GB2312" w:cs="仿宋_GB2312"/>
                <w:b w:val="0"/>
                <w:bCs w:val="0"/>
                <w:sz w:val="24"/>
                <w:lang w:eastAsia="zh-CN"/>
              </w:rPr>
              <w:t>累计</w:t>
            </w:r>
            <w:r>
              <w:rPr>
                <w:rFonts w:hint="eastAsia" w:ascii="仿宋_GB2312" w:hAnsi="仿宋_GB2312" w:eastAsia="仿宋_GB2312" w:cs="仿宋_GB2312"/>
                <w:b w:val="0"/>
                <w:bCs w:val="0"/>
                <w:sz w:val="24"/>
                <w:lang w:val="en-US" w:eastAsia="zh-CN"/>
              </w:rPr>
              <w:t>1603人次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7" w:type="dxa"/>
            <w:vMerge w:val="continue"/>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Fonts w:hint="eastAsia" w:ascii="仿宋_GB2312" w:hAnsi="仿宋_GB2312" w:eastAsia="仿宋_GB2312" w:cs="仿宋_GB2312"/>
                <w:b w:val="0"/>
                <w:bCs w:val="0"/>
                <w:i w:val="0"/>
                <w:iCs w:val="0"/>
                <w:color w:val="000000"/>
                <w:kern w:val="0"/>
                <w:sz w:val="24"/>
                <w:szCs w:val="24"/>
                <w:u w:val="none"/>
                <w:lang w:val="en-US" w:eastAsia="zh-CN" w:bidi="ar"/>
              </w:rPr>
            </w:pPr>
          </w:p>
        </w:tc>
        <w:tc>
          <w:tcPr>
            <w:tcW w:w="2776"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left"/>
              <w:textAlignment w:val="center"/>
              <w:rPr>
                <w:rFonts w:hint="eastAsia" w:ascii="仿宋_GB2312" w:hAnsi="仿宋_GB2312" w:eastAsia="仿宋_GB2312" w:cs="仿宋_GB2312"/>
                <w:b w:val="0"/>
                <w:bCs w:val="0"/>
                <w:i w:val="0"/>
                <w:iCs w:val="0"/>
                <w:color w:val="000000"/>
                <w:kern w:val="0"/>
                <w:sz w:val="24"/>
                <w:szCs w:val="24"/>
                <w:u w:val="none"/>
                <w:lang w:val="en-US" w:eastAsia="zh-CN" w:bidi="ar"/>
              </w:rPr>
            </w:pPr>
            <w:r>
              <w:rPr>
                <w:rFonts w:hint="eastAsia" w:ascii="仿宋_GB2312" w:hAnsi="仿宋_GB2312" w:eastAsia="仿宋_GB2312" w:cs="仿宋_GB2312"/>
                <w:b w:val="0"/>
                <w:bCs w:val="0"/>
                <w:i w:val="0"/>
                <w:iCs w:val="0"/>
                <w:color w:val="000000"/>
                <w:kern w:val="0"/>
                <w:sz w:val="24"/>
                <w:szCs w:val="24"/>
                <w:u w:val="none"/>
                <w:lang w:val="en-US" w:eastAsia="zh-CN" w:bidi="ar"/>
              </w:rPr>
              <w:t>3-2.高端人才培训课程5年内每年参训人次不少于500。</w:t>
            </w:r>
          </w:p>
        </w:tc>
        <w:tc>
          <w:tcPr>
            <w:tcW w:w="2399" w:type="dxa"/>
          </w:tcPr>
          <w:p>
            <w:pPr>
              <w:spacing w:line="400" w:lineRule="exact"/>
              <w:rPr>
                <w:rFonts w:hint="eastAsia" w:ascii="仿宋_GB2312" w:hAnsi="仿宋_GB2312" w:eastAsia="仿宋_GB2312" w:cs="仿宋_GB2312"/>
                <w:sz w:val="24"/>
                <w:lang w:val="en-US" w:eastAsia="zh-CN"/>
              </w:rPr>
            </w:pPr>
            <w:r>
              <w:rPr>
                <w:rFonts w:hint="eastAsia" w:ascii="仿宋_GB2312" w:hAnsi="仿宋_GB2312" w:eastAsia="仿宋_GB2312" w:cs="仿宋_GB2312"/>
                <w:b/>
                <w:bCs/>
                <w:sz w:val="24"/>
              </w:rPr>
              <w:t>完成。</w:t>
            </w:r>
            <w:r>
              <w:rPr>
                <w:rFonts w:hint="eastAsia" w:ascii="仿宋_GB2312" w:hAnsi="仿宋_GB2312" w:eastAsia="仿宋_GB2312" w:cs="仿宋_GB2312"/>
                <w:b w:val="0"/>
                <w:bCs w:val="0"/>
                <w:sz w:val="24"/>
                <w:lang w:val="en-US" w:eastAsia="zh-CN"/>
              </w:rPr>
              <w:t>825人次</w:t>
            </w:r>
          </w:p>
        </w:tc>
        <w:tc>
          <w:tcPr>
            <w:tcW w:w="3072" w:type="dxa"/>
          </w:tcPr>
          <w:p>
            <w:pPr>
              <w:spacing w:line="400" w:lineRule="exact"/>
              <w:rPr>
                <w:rFonts w:hint="eastAsia" w:ascii="仿宋_GB2312" w:hAnsi="仿宋_GB2312" w:eastAsia="仿宋_GB2312" w:cs="仿宋_GB2312"/>
                <w:b w:val="0"/>
                <w:bCs w:val="0"/>
                <w:sz w:val="24"/>
                <w:lang w:val="en-US" w:eastAsia="zh-CN"/>
              </w:rPr>
            </w:pPr>
            <w:r>
              <w:rPr>
                <w:rFonts w:hint="eastAsia" w:ascii="仿宋_GB2312" w:hAnsi="仿宋_GB2312" w:eastAsia="仿宋_GB2312" w:cs="仿宋_GB2312"/>
                <w:b/>
                <w:bCs/>
                <w:sz w:val="24"/>
                <w:lang w:eastAsia="zh-CN"/>
              </w:rPr>
              <w:t>推进中。</w:t>
            </w:r>
            <w:r>
              <w:rPr>
                <w:rFonts w:hint="eastAsia" w:ascii="仿宋_GB2312" w:hAnsi="仿宋_GB2312" w:eastAsia="仿宋_GB2312" w:cs="仿宋_GB2312"/>
                <w:b w:val="0"/>
                <w:bCs w:val="0"/>
                <w:sz w:val="24"/>
                <w:lang w:eastAsia="zh-CN"/>
              </w:rPr>
              <w:t>累计</w:t>
            </w:r>
            <w:r>
              <w:rPr>
                <w:rFonts w:hint="eastAsia" w:ascii="仿宋_GB2312" w:hAnsi="仿宋_GB2312" w:eastAsia="仿宋_GB2312" w:cs="仿宋_GB2312"/>
                <w:b w:val="0"/>
                <w:bCs w:val="0"/>
                <w:sz w:val="24"/>
                <w:lang w:val="en-US" w:eastAsia="zh-CN"/>
              </w:rPr>
              <w:t>1460人次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67" w:type="dxa"/>
            <w:vMerge w:val="continue"/>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Fonts w:hint="eastAsia" w:ascii="仿宋_GB2312" w:hAnsi="仿宋_GB2312" w:eastAsia="仿宋_GB2312" w:cs="仿宋_GB2312"/>
                <w:b w:val="0"/>
                <w:bCs w:val="0"/>
                <w:i w:val="0"/>
                <w:iCs w:val="0"/>
                <w:color w:val="000000"/>
                <w:kern w:val="0"/>
                <w:sz w:val="24"/>
                <w:szCs w:val="24"/>
                <w:u w:val="none"/>
                <w:lang w:val="en-US" w:eastAsia="zh-CN" w:bidi="ar"/>
              </w:rPr>
            </w:pPr>
          </w:p>
        </w:tc>
        <w:tc>
          <w:tcPr>
            <w:tcW w:w="2776"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left"/>
              <w:textAlignment w:val="center"/>
              <w:rPr>
                <w:rFonts w:hint="eastAsia" w:ascii="仿宋_GB2312" w:hAnsi="仿宋_GB2312" w:eastAsia="仿宋_GB2312" w:cs="仿宋_GB2312"/>
                <w:b w:val="0"/>
                <w:bCs w:val="0"/>
                <w:i w:val="0"/>
                <w:iCs w:val="0"/>
                <w:color w:val="000000"/>
                <w:kern w:val="0"/>
                <w:sz w:val="24"/>
                <w:szCs w:val="24"/>
                <w:u w:val="none"/>
                <w:lang w:val="en-US" w:eastAsia="zh-CN" w:bidi="ar"/>
              </w:rPr>
            </w:pPr>
            <w:r>
              <w:rPr>
                <w:rFonts w:hint="eastAsia" w:ascii="仿宋_GB2312" w:hAnsi="仿宋_GB2312" w:eastAsia="仿宋_GB2312" w:cs="仿宋_GB2312"/>
                <w:b w:val="0"/>
                <w:bCs w:val="0"/>
                <w:i w:val="0"/>
                <w:iCs w:val="0"/>
                <w:color w:val="000000"/>
                <w:kern w:val="0"/>
                <w:sz w:val="24"/>
                <w:szCs w:val="24"/>
                <w:u w:val="none"/>
                <w:lang w:val="en-US" w:eastAsia="zh-CN" w:bidi="ar"/>
              </w:rPr>
              <w:t>3-3.特定干部培训课程每年不少于5次。</w:t>
            </w:r>
          </w:p>
        </w:tc>
        <w:tc>
          <w:tcPr>
            <w:tcW w:w="2399" w:type="dxa"/>
          </w:tcPr>
          <w:p>
            <w:pPr>
              <w:spacing w:line="400" w:lineRule="exact"/>
              <w:rPr>
                <w:rFonts w:hint="eastAsia" w:ascii="仿宋_GB2312" w:hAnsi="仿宋_GB2312" w:eastAsia="仿宋_GB2312" w:cs="仿宋_GB2312"/>
                <w:sz w:val="24"/>
                <w:lang w:val="en-US" w:eastAsia="zh-CN"/>
              </w:rPr>
            </w:pPr>
            <w:r>
              <w:rPr>
                <w:rFonts w:hint="eastAsia" w:ascii="仿宋_GB2312" w:hAnsi="仿宋_GB2312" w:eastAsia="仿宋_GB2312" w:cs="仿宋_GB2312"/>
                <w:b/>
                <w:bCs/>
                <w:sz w:val="24"/>
                <w:lang w:eastAsia="zh-CN"/>
              </w:rPr>
              <w:t>部分</w:t>
            </w:r>
            <w:r>
              <w:rPr>
                <w:rFonts w:hint="eastAsia" w:ascii="仿宋_GB2312" w:hAnsi="仿宋_GB2312" w:eastAsia="仿宋_GB2312" w:cs="仿宋_GB2312"/>
                <w:b/>
                <w:bCs/>
                <w:sz w:val="24"/>
              </w:rPr>
              <w:t>完成。</w:t>
            </w:r>
            <w:r>
              <w:rPr>
                <w:rFonts w:hint="eastAsia" w:ascii="仿宋_GB2312" w:hAnsi="仿宋_GB2312" w:eastAsia="仿宋_GB2312" w:cs="仿宋_GB2312"/>
                <w:b w:val="0"/>
                <w:bCs w:val="0"/>
                <w:sz w:val="24"/>
                <w:lang w:val="en-US" w:eastAsia="zh-CN"/>
              </w:rPr>
              <w:t>6次</w:t>
            </w:r>
          </w:p>
        </w:tc>
        <w:tc>
          <w:tcPr>
            <w:tcW w:w="3072" w:type="dxa"/>
          </w:tcPr>
          <w:p>
            <w:pPr>
              <w:spacing w:line="400" w:lineRule="exact"/>
              <w:rPr>
                <w:rFonts w:hint="eastAsia" w:ascii="仿宋_GB2312" w:hAnsi="仿宋_GB2312" w:eastAsia="仿宋_GB2312" w:cs="仿宋_GB2312"/>
                <w:b/>
                <w:bCs/>
                <w:sz w:val="24"/>
                <w:lang w:val="en-US" w:eastAsia="zh-CN"/>
              </w:rPr>
            </w:pPr>
            <w:r>
              <w:rPr>
                <w:rFonts w:hint="eastAsia" w:ascii="仿宋_GB2312" w:hAnsi="仿宋_GB2312" w:eastAsia="仿宋_GB2312" w:cs="仿宋_GB2312"/>
                <w:b/>
                <w:bCs/>
                <w:sz w:val="24"/>
                <w:lang w:val="en-US" w:eastAsia="zh-CN"/>
              </w:rPr>
              <w:t>推进中。</w:t>
            </w:r>
            <w:r>
              <w:rPr>
                <w:rFonts w:hint="eastAsia" w:ascii="仿宋_GB2312" w:hAnsi="仿宋_GB2312" w:eastAsia="仿宋_GB2312" w:cs="仿宋_GB2312"/>
                <w:b w:val="0"/>
                <w:bCs w:val="0"/>
                <w:sz w:val="24"/>
                <w:lang w:val="en-US" w:eastAsia="zh-CN"/>
              </w:rPr>
              <w:t>累计完成10次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7" w:type="dxa"/>
            <w:vMerge w:val="continue"/>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Fonts w:hint="eastAsia" w:ascii="仿宋_GB2312" w:hAnsi="仿宋_GB2312" w:eastAsia="仿宋_GB2312" w:cs="仿宋_GB2312"/>
                <w:b w:val="0"/>
                <w:bCs w:val="0"/>
                <w:i w:val="0"/>
                <w:iCs w:val="0"/>
                <w:color w:val="000000"/>
                <w:kern w:val="0"/>
                <w:sz w:val="24"/>
                <w:szCs w:val="24"/>
                <w:u w:val="none"/>
                <w:lang w:val="en-US" w:eastAsia="zh-CN" w:bidi="ar"/>
              </w:rPr>
            </w:pPr>
          </w:p>
        </w:tc>
        <w:tc>
          <w:tcPr>
            <w:tcW w:w="2776"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left"/>
              <w:textAlignment w:val="center"/>
              <w:rPr>
                <w:rFonts w:hint="eastAsia" w:ascii="仿宋_GB2312" w:hAnsi="仿宋_GB2312" w:eastAsia="仿宋_GB2312" w:cs="仿宋_GB2312"/>
                <w:b w:val="0"/>
                <w:bCs w:val="0"/>
                <w:i w:val="0"/>
                <w:iCs w:val="0"/>
                <w:color w:val="000000"/>
                <w:kern w:val="0"/>
                <w:sz w:val="24"/>
                <w:szCs w:val="24"/>
                <w:u w:val="none"/>
                <w:lang w:val="en-US" w:eastAsia="zh-CN" w:bidi="ar"/>
              </w:rPr>
            </w:pPr>
            <w:r>
              <w:rPr>
                <w:rFonts w:hint="eastAsia" w:ascii="仿宋_GB2312" w:hAnsi="仿宋_GB2312" w:eastAsia="仿宋_GB2312" w:cs="仿宋_GB2312"/>
                <w:b w:val="0"/>
                <w:bCs w:val="0"/>
                <w:i w:val="0"/>
                <w:iCs w:val="0"/>
                <w:color w:val="000000"/>
                <w:kern w:val="0"/>
                <w:sz w:val="24"/>
                <w:szCs w:val="24"/>
                <w:u w:val="none"/>
                <w:lang w:val="en-US" w:eastAsia="zh-CN" w:bidi="ar"/>
              </w:rPr>
              <w:t>3-4.学术活动每年至少5次。</w:t>
            </w:r>
          </w:p>
        </w:tc>
        <w:tc>
          <w:tcPr>
            <w:tcW w:w="2399" w:type="dxa"/>
          </w:tcPr>
          <w:p>
            <w:pPr>
              <w:spacing w:line="400" w:lineRule="exact"/>
              <w:rPr>
                <w:rFonts w:hint="eastAsia" w:ascii="仿宋_GB2312" w:hAnsi="仿宋_GB2312" w:eastAsia="仿宋_GB2312" w:cs="仿宋_GB2312"/>
                <w:sz w:val="24"/>
              </w:rPr>
            </w:pPr>
            <w:r>
              <w:rPr>
                <w:rFonts w:hint="eastAsia" w:ascii="仿宋_GB2312" w:hAnsi="仿宋_GB2312" w:eastAsia="仿宋_GB2312" w:cs="仿宋_GB2312"/>
                <w:b/>
                <w:bCs/>
                <w:sz w:val="24"/>
              </w:rPr>
              <w:t>部分完成。</w:t>
            </w:r>
            <w:r>
              <w:rPr>
                <w:rFonts w:hint="eastAsia" w:ascii="仿宋_GB2312" w:hAnsi="仿宋_GB2312" w:eastAsia="仿宋_GB2312" w:cs="仿宋_GB2312"/>
                <w:sz w:val="24"/>
                <w:lang w:val="en-US" w:eastAsia="zh-CN"/>
              </w:rPr>
              <w:t>10</w:t>
            </w:r>
            <w:r>
              <w:rPr>
                <w:rFonts w:hint="eastAsia" w:ascii="仿宋_GB2312" w:hAnsi="仿宋_GB2312" w:eastAsia="仿宋_GB2312" w:cs="仿宋_GB2312"/>
                <w:sz w:val="24"/>
              </w:rPr>
              <w:t>次。</w:t>
            </w:r>
          </w:p>
        </w:tc>
        <w:tc>
          <w:tcPr>
            <w:tcW w:w="3072" w:type="dxa"/>
          </w:tcPr>
          <w:p>
            <w:pPr>
              <w:spacing w:line="400" w:lineRule="exact"/>
              <w:rPr>
                <w:rFonts w:hint="eastAsia" w:ascii="仿宋_GB2312" w:hAnsi="仿宋_GB2312" w:eastAsia="仿宋_GB2312" w:cs="仿宋_GB2312"/>
                <w:b/>
                <w:bCs/>
                <w:sz w:val="24"/>
                <w:lang w:val="en-US" w:eastAsia="zh-CN"/>
              </w:rPr>
            </w:pPr>
            <w:r>
              <w:rPr>
                <w:rFonts w:hint="eastAsia" w:ascii="仿宋_GB2312" w:hAnsi="仿宋_GB2312" w:eastAsia="仿宋_GB2312" w:cs="仿宋_GB2312"/>
                <w:b/>
                <w:bCs/>
                <w:sz w:val="24"/>
                <w:lang w:eastAsia="zh-CN"/>
              </w:rPr>
              <w:t>完成。</w:t>
            </w:r>
            <w:r>
              <w:rPr>
                <w:rFonts w:hint="eastAsia" w:ascii="仿宋_GB2312" w:hAnsi="仿宋_GB2312" w:eastAsia="仿宋_GB2312" w:cs="仿宋_GB2312"/>
                <w:b w:val="0"/>
                <w:bCs w:val="0"/>
                <w:sz w:val="24"/>
                <w:lang w:eastAsia="zh-CN"/>
              </w:rPr>
              <w:t>累计完成</w:t>
            </w:r>
            <w:r>
              <w:rPr>
                <w:rFonts w:hint="eastAsia" w:ascii="仿宋_GB2312" w:hAnsi="仿宋_GB2312" w:eastAsia="仿宋_GB2312" w:cs="仿宋_GB2312"/>
                <w:b w:val="0"/>
                <w:bCs w:val="0"/>
                <w:sz w:val="24"/>
                <w:lang w:val="en-US" w:eastAsia="zh-CN"/>
              </w:rPr>
              <w:t>32场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7"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Fonts w:hint="eastAsia" w:ascii="仿宋_GB2312" w:hAnsi="仿宋_GB2312" w:eastAsia="仿宋_GB2312" w:cs="仿宋_GB2312"/>
                <w:b w:val="0"/>
                <w:bCs w:val="0"/>
                <w:i w:val="0"/>
                <w:iCs w:val="0"/>
                <w:color w:val="000000"/>
                <w:kern w:val="0"/>
                <w:sz w:val="24"/>
                <w:szCs w:val="24"/>
                <w:u w:val="none"/>
                <w:lang w:val="en-US" w:eastAsia="zh-CN" w:bidi="ar"/>
              </w:rPr>
            </w:pPr>
            <w:r>
              <w:rPr>
                <w:rFonts w:hint="eastAsia" w:ascii="仿宋_GB2312" w:hAnsi="仿宋_GB2312" w:eastAsia="仿宋_GB2312" w:cs="仿宋_GB2312"/>
                <w:b w:val="0"/>
                <w:bCs w:val="0"/>
                <w:i w:val="0"/>
                <w:iCs w:val="0"/>
                <w:color w:val="000000"/>
                <w:kern w:val="0"/>
                <w:sz w:val="24"/>
                <w:szCs w:val="24"/>
                <w:u w:val="none"/>
                <w:lang w:val="en-US" w:eastAsia="zh-CN" w:bidi="ar"/>
              </w:rPr>
              <w:t>4</w:t>
            </w:r>
          </w:p>
        </w:tc>
        <w:tc>
          <w:tcPr>
            <w:tcW w:w="2776"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left"/>
              <w:textAlignment w:val="center"/>
              <w:rPr>
                <w:rFonts w:hint="eastAsia" w:ascii="仿宋_GB2312" w:hAnsi="仿宋_GB2312" w:eastAsia="仿宋_GB2312" w:cs="仿宋_GB2312"/>
                <w:b w:val="0"/>
                <w:bCs w:val="0"/>
                <w:i w:val="0"/>
                <w:iCs w:val="0"/>
                <w:color w:val="000000"/>
                <w:kern w:val="0"/>
                <w:sz w:val="24"/>
                <w:szCs w:val="24"/>
                <w:u w:val="none"/>
                <w:lang w:val="en-US" w:eastAsia="zh-CN" w:bidi="ar"/>
              </w:rPr>
            </w:pPr>
            <w:r>
              <w:rPr>
                <w:rFonts w:hint="eastAsia" w:ascii="仿宋_GB2312" w:hAnsi="仿宋_GB2312" w:eastAsia="仿宋_GB2312" w:cs="仿宋_GB2312"/>
                <w:b w:val="0"/>
                <w:bCs w:val="0"/>
                <w:i w:val="0"/>
                <w:iCs w:val="0"/>
                <w:color w:val="000000"/>
                <w:kern w:val="0"/>
                <w:sz w:val="24"/>
                <w:szCs w:val="24"/>
                <w:u w:val="none"/>
                <w:lang w:val="en-US" w:eastAsia="zh-CN" w:bidi="ar"/>
              </w:rPr>
              <w:t>2023年12月31日前完成四个研究院的设立。</w:t>
            </w:r>
          </w:p>
        </w:tc>
        <w:tc>
          <w:tcPr>
            <w:tcW w:w="5471" w:type="dxa"/>
            <w:gridSpan w:val="2"/>
          </w:tcPr>
          <w:p>
            <w:pPr>
              <w:spacing w:line="400" w:lineRule="exact"/>
              <w:rPr>
                <w:rFonts w:hint="eastAsia" w:ascii="仿宋_GB2312" w:hAnsi="仿宋_GB2312" w:eastAsia="仿宋_GB2312" w:cs="仿宋_GB2312"/>
                <w:b/>
                <w:bCs/>
                <w:sz w:val="24"/>
              </w:rPr>
            </w:pPr>
            <w:r>
              <w:rPr>
                <w:rFonts w:hint="eastAsia" w:ascii="仿宋_GB2312" w:hAnsi="仿宋_GB2312" w:eastAsia="仿宋_GB2312" w:cs="仿宋_GB2312"/>
                <w:b/>
                <w:bCs/>
                <w:sz w:val="24"/>
                <w:lang w:eastAsia="zh-CN"/>
              </w:rPr>
              <w:t>已完成</w:t>
            </w:r>
            <w:r>
              <w:rPr>
                <w:rFonts w:hint="eastAsia" w:ascii="仿宋_GB2312" w:hAnsi="仿宋_GB2312" w:eastAsia="仿宋_GB2312" w:cs="仿宋_GB2312"/>
                <w:b/>
                <w:bCs/>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7"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center"/>
              <w:rPr>
                <w:rFonts w:hint="eastAsia" w:ascii="仿宋_GB2312" w:hAnsi="仿宋_GB2312" w:eastAsia="仿宋_GB2312" w:cs="仿宋_GB2312"/>
                <w:b w:val="0"/>
                <w:bCs w:val="0"/>
                <w:i w:val="0"/>
                <w:iCs w:val="0"/>
                <w:color w:val="000000"/>
                <w:kern w:val="0"/>
                <w:sz w:val="24"/>
                <w:szCs w:val="24"/>
                <w:u w:val="none"/>
                <w:lang w:val="en-US" w:eastAsia="zh-CN" w:bidi="ar"/>
              </w:rPr>
            </w:pPr>
            <w:r>
              <w:rPr>
                <w:rFonts w:hint="eastAsia" w:ascii="仿宋_GB2312" w:hAnsi="仿宋_GB2312" w:eastAsia="仿宋_GB2312" w:cs="仿宋_GB2312"/>
                <w:b w:val="0"/>
                <w:bCs w:val="0"/>
                <w:i w:val="0"/>
                <w:iCs w:val="0"/>
                <w:color w:val="000000"/>
                <w:kern w:val="0"/>
                <w:sz w:val="24"/>
                <w:szCs w:val="24"/>
                <w:u w:val="none"/>
                <w:lang w:val="en-US" w:eastAsia="zh-CN" w:bidi="ar"/>
              </w:rPr>
              <w:t>5</w:t>
            </w:r>
          </w:p>
        </w:tc>
        <w:tc>
          <w:tcPr>
            <w:tcW w:w="2776" w:type="dxa"/>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tLeast"/>
              <w:jc w:val="left"/>
              <w:textAlignment w:val="center"/>
              <w:rPr>
                <w:rFonts w:hint="eastAsia" w:ascii="仿宋_GB2312" w:hAnsi="仿宋_GB2312" w:eastAsia="仿宋_GB2312" w:cs="仿宋_GB2312"/>
                <w:b w:val="0"/>
                <w:bCs w:val="0"/>
                <w:i w:val="0"/>
                <w:iCs w:val="0"/>
                <w:color w:val="000000"/>
                <w:kern w:val="0"/>
                <w:sz w:val="24"/>
                <w:szCs w:val="24"/>
                <w:u w:val="none"/>
                <w:lang w:val="en-US" w:eastAsia="zh-CN" w:bidi="ar"/>
              </w:rPr>
            </w:pPr>
            <w:r>
              <w:rPr>
                <w:rFonts w:hint="eastAsia" w:ascii="仿宋_GB2312" w:hAnsi="仿宋_GB2312" w:eastAsia="仿宋_GB2312" w:cs="仿宋_GB2312"/>
                <w:b w:val="0"/>
                <w:bCs w:val="0"/>
                <w:i w:val="0"/>
                <w:iCs w:val="0"/>
                <w:color w:val="000000"/>
                <w:kern w:val="0"/>
                <w:sz w:val="24"/>
                <w:szCs w:val="24"/>
                <w:u w:val="none"/>
                <w:lang w:val="en-US" w:eastAsia="zh-CN" w:bidi="ar"/>
              </w:rPr>
              <w:t>在深圳设立创新孵化中心。</w:t>
            </w:r>
          </w:p>
        </w:tc>
        <w:tc>
          <w:tcPr>
            <w:tcW w:w="5471" w:type="dxa"/>
            <w:gridSpan w:val="2"/>
          </w:tcPr>
          <w:p>
            <w:pPr>
              <w:spacing w:line="400" w:lineRule="exact"/>
              <w:rPr>
                <w:rFonts w:hint="eastAsia" w:ascii="仿宋_GB2312" w:hAnsi="仿宋_GB2312" w:eastAsia="仿宋_GB2312" w:cs="仿宋_GB2312"/>
                <w:b/>
                <w:bCs/>
                <w:sz w:val="24"/>
              </w:rPr>
            </w:pPr>
            <w:r>
              <w:rPr>
                <w:rFonts w:hint="eastAsia" w:ascii="仿宋_GB2312" w:hAnsi="仿宋_GB2312" w:eastAsia="仿宋_GB2312" w:cs="仿宋_GB2312"/>
                <w:b/>
                <w:bCs/>
                <w:sz w:val="24"/>
              </w:rPr>
              <w:t>已完成。</w:t>
            </w:r>
          </w:p>
        </w:tc>
      </w:tr>
    </w:tbl>
    <w:p>
      <w:pPr>
        <w:keepNext w:val="0"/>
        <w:keepLines w:val="0"/>
        <w:pageBreakBefore w:val="0"/>
        <w:widowControl w:val="0"/>
        <w:kinsoku/>
        <w:wordWrap/>
        <w:overflowPunct/>
        <w:topLinePunct w:val="0"/>
        <w:autoSpaceDE/>
        <w:autoSpaceDN/>
        <w:bidi w:val="0"/>
        <w:adjustRightInd/>
        <w:snapToGrid/>
        <w:spacing w:line="579" w:lineRule="exact"/>
        <w:ind w:firstLine="640" w:firstLineChars="200"/>
        <w:textAlignment w:val="auto"/>
        <w:rPr>
          <w:rFonts w:ascii="黑体" w:hAnsi="黑体" w:eastAsia="黑体" w:cs="黑体"/>
          <w:sz w:val="32"/>
          <w:szCs w:val="32"/>
        </w:rPr>
      </w:pPr>
      <w:r>
        <w:rPr>
          <w:rFonts w:hint="eastAsia" w:ascii="黑体" w:hAnsi="黑体" w:eastAsia="黑体" w:cs="黑体"/>
          <w:sz w:val="32"/>
          <w:szCs w:val="32"/>
          <w:lang w:eastAsia="zh-CN"/>
        </w:rPr>
        <w:t>四</w:t>
      </w:r>
      <w:r>
        <w:rPr>
          <w:rFonts w:hint="eastAsia" w:ascii="黑体" w:hAnsi="黑体" w:eastAsia="黑体" w:cs="黑体"/>
          <w:sz w:val="32"/>
          <w:szCs w:val="32"/>
        </w:rPr>
        <w:t>、</w:t>
      </w:r>
      <w:r>
        <w:rPr>
          <w:rFonts w:hint="eastAsia" w:ascii="黑体" w:hAnsi="黑体" w:eastAsia="黑体" w:cs="黑体"/>
          <w:sz w:val="32"/>
          <w:szCs w:val="32"/>
          <w:lang w:eastAsia="zh-CN"/>
        </w:rPr>
        <w:t>深圳香蜜湖国际金融科技研究院</w:t>
      </w:r>
      <w:r>
        <w:rPr>
          <w:rFonts w:hint="eastAsia" w:ascii="黑体" w:hAnsi="黑体" w:eastAsia="黑体" w:cs="黑体"/>
          <w:sz w:val="32"/>
          <w:szCs w:val="32"/>
        </w:rPr>
        <w:t>相关情况</w:t>
      </w:r>
    </w:p>
    <w:p>
      <w:pPr>
        <w:keepNext w:val="0"/>
        <w:keepLines w:val="0"/>
        <w:pageBreakBefore w:val="0"/>
        <w:widowControl w:val="0"/>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b w:val="0"/>
          <w:bCs w:val="0"/>
          <w:sz w:val="32"/>
          <w:szCs w:val="32"/>
          <w:highlight w:val="none"/>
          <w:lang w:val="en-US" w:eastAsia="zh-CN"/>
        </w:rPr>
      </w:pPr>
      <w:r>
        <w:rPr>
          <w:rFonts w:hint="eastAsia" w:ascii="楷体_GB2312" w:hAnsi="楷体_GB2312" w:eastAsia="楷体_GB2312" w:cs="楷体_GB2312"/>
          <w:sz w:val="32"/>
          <w:szCs w:val="32"/>
          <w:highlight w:val="none"/>
        </w:rPr>
        <w:t>（一）研究院总体发展情况</w:t>
      </w:r>
    </w:p>
    <w:p>
      <w:pPr>
        <w:keepNext w:val="0"/>
        <w:keepLines w:val="0"/>
        <w:pageBreakBefore w:val="0"/>
        <w:widowControl w:val="0"/>
        <w:kinsoku/>
        <w:wordWrap/>
        <w:overflowPunct/>
        <w:topLinePunct w:val="0"/>
        <w:autoSpaceDE/>
        <w:autoSpaceDN/>
        <w:bidi w:val="0"/>
        <w:adjustRightInd/>
        <w:snapToGrid/>
        <w:spacing w:line="579" w:lineRule="exact"/>
        <w:ind w:firstLine="640" w:firstLineChars="200"/>
        <w:textAlignment w:val="auto"/>
        <w:rPr>
          <w:rFonts w:hint="default" w:ascii="黑体" w:hAnsi="黑体" w:eastAsia="黑体" w:cs="黑体"/>
          <w:sz w:val="32"/>
          <w:szCs w:val="32"/>
          <w:highlight w:val="none"/>
          <w:lang w:val="en-US" w:eastAsia="zh-CN"/>
        </w:rPr>
      </w:pPr>
      <w:r>
        <w:rPr>
          <w:rFonts w:hint="eastAsia" w:ascii="仿宋_GB2312" w:hAnsi="仿宋_GB2312" w:eastAsia="仿宋_GB2312" w:cs="仿宋_GB2312"/>
          <w:b w:val="0"/>
          <w:bCs w:val="0"/>
          <w:sz w:val="32"/>
          <w:szCs w:val="32"/>
          <w:highlight w:val="none"/>
          <w:lang w:val="en-US" w:eastAsia="zh-CN"/>
        </w:rPr>
        <w:t>2022年12月正式在市事业单位登记管理局注册登记，由市金融局作为行业主管部门。2023年2月，研究院启动运营；2024年12月，完成深业上城临时办学空间场地装修并通过验收，加快推进各项工作。</w:t>
      </w:r>
      <w:r>
        <w:rPr>
          <w:rFonts w:hint="eastAsia" w:ascii="仿宋_GB2312" w:hAnsi="仿宋_GB2312" w:eastAsia="仿宋_GB2312" w:cs="仿宋_GB2312"/>
          <w:b/>
          <w:bCs/>
          <w:sz w:val="32"/>
          <w:szCs w:val="32"/>
          <w:highlight w:val="none"/>
          <w:lang w:val="en-US" w:eastAsia="zh-CN"/>
        </w:rPr>
        <w:t>一是稳步推进运营管理各项工作。</w:t>
      </w:r>
      <w:r>
        <w:rPr>
          <w:rFonts w:hint="eastAsia" w:ascii="仿宋_GB2312" w:hAnsi="仿宋_GB2312" w:eastAsia="仿宋_GB2312" w:cs="仿宋_GB2312"/>
          <w:b w:val="0"/>
          <w:bCs w:val="0"/>
          <w:sz w:val="32"/>
          <w:szCs w:val="32"/>
          <w:highlight w:val="none"/>
          <w:lang w:val="en-US" w:eastAsia="zh-CN"/>
        </w:rPr>
        <w:t>研究院2024年理事会审议通过了相关管理办法，规范工作开展。12月，研究院正式入驻深业上城南区二期第22层、23层2302室办公场地。</w:t>
      </w:r>
      <w:r>
        <w:rPr>
          <w:rFonts w:hint="eastAsia" w:ascii="仿宋_GB2312" w:hAnsi="仿宋_GB2312" w:eastAsia="仿宋_GB2312" w:cs="仿宋_GB2312"/>
          <w:b/>
          <w:bCs/>
          <w:sz w:val="32"/>
          <w:szCs w:val="32"/>
          <w:highlight w:val="none"/>
          <w:lang w:val="en-US" w:eastAsia="zh-CN"/>
        </w:rPr>
        <w:t>二是明确研究院定位，立足高质量发展。</w:t>
      </w:r>
      <w:r>
        <w:rPr>
          <w:rFonts w:hint="eastAsia" w:ascii="仿宋_GB2312" w:hAnsi="仿宋_GB2312" w:eastAsia="仿宋_GB2312" w:cs="仿宋_GB2312"/>
          <w:b w:val="0"/>
          <w:bCs w:val="0"/>
          <w:sz w:val="32"/>
          <w:szCs w:val="32"/>
          <w:highlight w:val="none"/>
          <w:lang w:val="en-US" w:eastAsia="zh-CN"/>
        </w:rPr>
        <w:t>研究院</w:t>
      </w:r>
      <w:r>
        <w:rPr>
          <w:rFonts w:hint="default" w:ascii="仿宋_GB2312" w:hAnsi="仿宋_GB2312" w:eastAsia="仿宋_GB2312" w:cs="仿宋_GB2312"/>
          <w:b w:val="0"/>
          <w:bCs w:val="0"/>
          <w:sz w:val="32"/>
          <w:szCs w:val="32"/>
          <w:highlight w:val="none"/>
          <w:lang w:val="en-US" w:eastAsia="zh-CN"/>
        </w:rPr>
        <w:t>聚焦数字经济金融研究、着眼于当下热点经济金融问题、</w:t>
      </w:r>
      <w:r>
        <w:rPr>
          <w:rFonts w:hint="eastAsia" w:ascii="仿宋_GB2312" w:hAnsi="仿宋_GB2312" w:eastAsia="仿宋_GB2312" w:cs="仿宋_GB2312"/>
          <w:b w:val="0"/>
          <w:bCs w:val="0"/>
          <w:sz w:val="32"/>
          <w:szCs w:val="32"/>
          <w:highlight w:val="none"/>
          <w:lang w:val="en-US" w:eastAsia="zh-CN"/>
        </w:rPr>
        <w:t>智库成果丰硕、平台能级提升，由省部级领导牵头开展4项重大课题研究，并向市金融局、福田区政府报送决策咨询报告10篇，主办1场金融科技峰会、10场闭门研讨会，联合主办15场学术研讨会、1场金融科技大赛，助力深圳建设全球金融科技中心。</w:t>
      </w:r>
      <w:r>
        <w:rPr>
          <w:rFonts w:hint="eastAsia" w:ascii="仿宋_GB2312" w:hAnsi="仿宋_GB2312" w:eastAsia="仿宋_GB2312" w:cs="仿宋_GB2312"/>
          <w:b/>
          <w:bCs/>
          <w:sz w:val="32"/>
          <w:szCs w:val="32"/>
          <w:highlight w:val="none"/>
          <w:lang w:val="en-US" w:eastAsia="zh-CN"/>
        </w:rPr>
        <w:t>三是聚焦福田需求，打造“金字招牌”。</w:t>
      </w:r>
      <w:r>
        <w:rPr>
          <w:rFonts w:hint="eastAsia" w:ascii="仿宋_GB2312" w:hAnsi="仿宋_GB2312" w:eastAsia="仿宋_GB2312" w:cs="仿宋_GB2312"/>
          <w:b w:val="0"/>
          <w:bCs w:val="0"/>
          <w:sz w:val="32"/>
          <w:szCs w:val="32"/>
          <w:highlight w:val="none"/>
          <w:lang w:val="en-US" w:eastAsia="zh-CN"/>
        </w:rPr>
        <w:t>与区金融服务和风险防控中心建立了较为密切的沟通联系，定期向深圳市、福田区相关部门报送资政报告，初步构建粤港澳大湾区经济金融发展理论与实践的研究体系。预计至2027年，基本形成具有影响力的数字经济、数字金融、宏观经济研究品牌。</w:t>
      </w:r>
    </w:p>
    <w:p>
      <w:pPr>
        <w:keepNext w:val="0"/>
        <w:keepLines w:val="0"/>
        <w:pageBreakBefore w:val="0"/>
        <w:widowControl w:val="0"/>
        <w:kinsoku/>
        <w:wordWrap/>
        <w:overflowPunct/>
        <w:topLinePunct w:val="0"/>
        <w:autoSpaceDE/>
        <w:autoSpaceDN/>
        <w:bidi w:val="0"/>
        <w:adjustRightInd/>
        <w:snapToGrid/>
        <w:spacing w:line="579" w:lineRule="exact"/>
        <w:ind w:firstLine="640" w:firstLineChars="200"/>
        <w:textAlignment w:val="auto"/>
        <w:rPr>
          <w:rFonts w:ascii="楷体_GB2312" w:hAnsi="楷体_GB2312" w:eastAsia="楷体_GB2312" w:cs="楷体_GB2312"/>
          <w:sz w:val="32"/>
          <w:szCs w:val="32"/>
          <w:highlight w:val="none"/>
        </w:rPr>
      </w:pPr>
      <w:r>
        <w:rPr>
          <w:rFonts w:hint="eastAsia" w:ascii="楷体_GB2312" w:hAnsi="楷体_GB2312" w:eastAsia="楷体_GB2312" w:cs="楷体_GB2312"/>
          <w:sz w:val="32"/>
          <w:szCs w:val="32"/>
          <w:highlight w:val="none"/>
        </w:rPr>
        <w:t>（二）议定事项完成情况</w:t>
      </w:r>
    </w:p>
    <w:p>
      <w:pPr>
        <w:keepNext w:val="0"/>
        <w:keepLines w:val="0"/>
        <w:pageBreakBefore w:val="0"/>
        <w:widowControl w:val="0"/>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202</w:t>
      </w:r>
      <w:r>
        <w:rPr>
          <w:rFonts w:hint="default" w:ascii="仿宋_GB2312" w:hAnsi="仿宋_GB2312" w:eastAsia="仿宋_GB2312" w:cs="仿宋_GB2312"/>
          <w:sz w:val="32"/>
          <w:szCs w:val="32"/>
          <w:highlight w:val="none"/>
          <w:lang w:val="en-US" w:eastAsia="zh-CN"/>
        </w:rPr>
        <w:t>4</w:t>
      </w:r>
      <w:r>
        <w:rPr>
          <w:rFonts w:hint="eastAsia" w:ascii="仿宋_GB2312" w:hAnsi="仿宋_GB2312" w:eastAsia="仿宋_GB2312" w:cs="仿宋_GB2312"/>
          <w:sz w:val="32"/>
          <w:szCs w:val="32"/>
          <w:highlight w:val="none"/>
          <w:lang w:val="en-US" w:eastAsia="zh-CN"/>
        </w:rPr>
        <w:t>年，各议定事项推进中，因研究院院长变更后，主营业务有所调整，研究院超额完成决策咨询报告、高层次论坛、学术会议和学术讲座等指标，由于各种因素，在高层次人才引进与学生培养方面有待提升（详见表4）。</w:t>
      </w:r>
    </w:p>
    <w:p>
      <w:pPr>
        <w:keepNext w:val="0"/>
        <w:keepLines w:val="0"/>
        <w:pageBreakBefore w:val="0"/>
        <w:widowControl w:val="0"/>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z w:val="32"/>
          <w:szCs w:val="32"/>
          <w:highlight w:val="none"/>
          <w:lang w:val="en-US" w:eastAsia="zh-CN"/>
        </w:rPr>
      </w:pPr>
      <w:r>
        <w:rPr>
          <w:rFonts w:hint="eastAsia" w:ascii="宋体" w:hAnsi="宋体" w:eastAsia="宋体" w:cs="宋体"/>
          <w:b/>
          <w:bCs/>
          <w:sz w:val="24"/>
        </w:rPr>
        <w:t>表</w:t>
      </w:r>
      <w:r>
        <w:rPr>
          <w:rFonts w:hint="eastAsia" w:ascii="宋体" w:hAnsi="宋体" w:eastAsia="宋体" w:cs="宋体"/>
          <w:b/>
          <w:bCs/>
          <w:sz w:val="24"/>
          <w:lang w:val="en-US" w:eastAsia="zh-CN"/>
        </w:rPr>
        <w:t>4</w:t>
      </w:r>
      <w:r>
        <w:rPr>
          <w:rFonts w:hint="eastAsia" w:ascii="宋体" w:hAnsi="宋体" w:eastAsia="宋体" w:cs="宋体"/>
          <w:b/>
          <w:bCs/>
          <w:sz w:val="24"/>
        </w:rPr>
        <w:t>：</w:t>
      </w:r>
      <w:r>
        <w:rPr>
          <w:rFonts w:hint="eastAsia" w:ascii="宋体" w:hAnsi="宋体" w:eastAsia="宋体" w:cs="宋体"/>
          <w:b/>
          <w:bCs/>
          <w:sz w:val="24"/>
          <w:lang w:eastAsia="zh-CN"/>
        </w:rPr>
        <w:t>深圳香蜜湖国际金融科技研究院</w:t>
      </w:r>
      <w:r>
        <w:rPr>
          <w:rFonts w:hint="eastAsia" w:ascii="宋体" w:hAnsi="宋体" w:eastAsia="宋体" w:cs="宋体"/>
          <w:b/>
          <w:bCs/>
          <w:sz w:val="24"/>
        </w:rPr>
        <w:t>议定事项完成情况一览表</w:t>
      </w:r>
    </w:p>
    <w:tbl>
      <w:tblPr>
        <w:tblStyle w:val="6"/>
        <w:tblpPr w:leftFromText="180" w:rightFromText="180" w:vertAnchor="text" w:horzAnchor="page" w:tblpX="1777" w:tblpY="272"/>
        <w:tblOverlap w:val="never"/>
        <w:tblW w:w="89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
        <w:gridCol w:w="2957"/>
        <w:gridCol w:w="2608"/>
        <w:gridCol w:w="26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vAlign w:val="center"/>
          </w:tcPr>
          <w:p>
            <w:pPr>
              <w:spacing w:line="400" w:lineRule="exact"/>
              <w:jc w:val="center"/>
              <w:rPr>
                <w:rFonts w:hint="eastAsia" w:ascii="黑体" w:hAnsi="黑体" w:eastAsia="黑体" w:cs="黑体"/>
                <w:sz w:val="24"/>
              </w:rPr>
            </w:pPr>
            <w:r>
              <w:rPr>
                <w:rFonts w:hint="eastAsia" w:ascii="黑体" w:hAnsi="黑体" w:eastAsia="黑体" w:cs="黑体"/>
                <w:sz w:val="24"/>
              </w:rPr>
              <w:t>序号</w:t>
            </w:r>
          </w:p>
        </w:tc>
        <w:tc>
          <w:tcPr>
            <w:tcW w:w="2957" w:type="dxa"/>
            <w:vAlign w:val="center"/>
          </w:tcPr>
          <w:p>
            <w:pPr>
              <w:spacing w:line="400" w:lineRule="exact"/>
              <w:jc w:val="center"/>
              <w:rPr>
                <w:rFonts w:hint="eastAsia" w:ascii="黑体" w:hAnsi="黑体" w:eastAsia="黑体" w:cs="黑体"/>
                <w:sz w:val="24"/>
              </w:rPr>
            </w:pPr>
            <w:r>
              <w:rPr>
                <w:rFonts w:hint="eastAsia" w:ascii="黑体" w:hAnsi="黑体" w:eastAsia="黑体" w:cs="黑体"/>
                <w:sz w:val="24"/>
              </w:rPr>
              <w:t>议定事项</w:t>
            </w:r>
          </w:p>
        </w:tc>
        <w:tc>
          <w:tcPr>
            <w:tcW w:w="2608" w:type="dxa"/>
            <w:vAlign w:val="center"/>
          </w:tcPr>
          <w:p>
            <w:pPr>
              <w:spacing w:line="400" w:lineRule="exact"/>
              <w:jc w:val="center"/>
              <w:rPr>
                <w:rFonts w:hint="eastAsia" w:ascii="黑体" w:hAnsi="黑体" w:eastAsia="黑体" w:cs="黑体"/>
                <w:sz w:val="24"/>
              </w:rPr>
            </w:pPr>
            <w:r>
              <w:rPr>
                <w:rFonts w:hint="eastAsia" w:ascii="黑体" w:hAnsi="黑体" w:eastAsia="黑体" w:cs="黑体"/>
                <w:sz w:val="24"/>
              </w:rPr>
              <w:t>202</w:t>
            </w:r>
            <w:r>
              <w:rPr>
                <w:rFonts w:hint="eastAsia" w:ascii="黑体" w:hAnsi="黑体" w:eastAsia="黑体" w:cs="黑体"/>
                <w:sz w:val="24"/>
                <w:lang w:val="en-US" w:eastAsia="zh-CN"/>
              </w:rPr>
              <w:t>4</w:t>
            </w:r>
            <w:r>
              <w:rPr>
                <w:rFonts w:hint="eastAsia" w:ascii="黑体" w:hAnsi="黑体" w:eastAsia="黑体" w:cs="黑体"/>
                <w:sz w:val="24"/>
              </w:rPr>
              <w:t>年完成情况</w:t>
            </w:r>
          </w:p>
        </w:tc>
        <w:tc>
          <w:tcPr>
            <w:tcW w:w="2659" w:type="dxa"/>
            <w:vAlign w:val="center"/>
          </w:tcPr>
          <w:p>
            <w:pPr>
              <w:spacing w:line="400" w:lineRule="exact"/>
              <w:jc w:val="center"/>
              <w:rPr>
                <w:rFonts w:hint="eastAsia" w:ascii="黑体" w:hAnsi="黑体" w:eastAsia="黑体" w:cs="黑体"/>
                <w:sz w:val="24"/>
              </w:rPr>
            </w:pPr>
            <w:r>
              <w:rPr>
                <w:rFonts w:hint="eastAsia" w:ascii="黑体" w:hAnsi="黑体" w:eastAsia="黑体" w:cs="黑体"/>
                <w:sz w:val="24"/>
              </w:rPr>
              <w:t>自协议签署之日起</w:t>
            </w:r>
          </w:p>
          <w:p>
            <w:pPr>
              <w:spacing w:line="400" w:lineRule="exact"/>
              <w:jc w:val="center"/>
              <w:rPr>
                <w:rFonts w:hint="eastAsia" w:ascii="黑体" w:hAnsi="黑体" w:eastAsia="黑体" w:cs="黑体"/>
                <w:sz w:val="24"/>
              </w:rPr>
            </w:pPr>
            <w:r>
              <w:rPr>
                <w:rFonts w:hint="eastAsia" w:ascii="黑体" w:hAnsi="黑体" w:eastAsia="黑体" w:cs="黑体"/>
                <w:sz w:val="24"/>
              </w:rPr>
              <w:t>累计完成情况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vAlign w:val="center"/>
          </w:tcPr>
          <w:p>
            <w:pPr>
              <w:spacing w:line="400" w:lineRule="exact"/>
              <w:jc w:val="center"/>
              <w:rPr>
                <w:rFonts w:hint="eastAsia" w:ascii="仿宋_GB2312" w:hAnsi="仿宋_GB2312" w:eastAsia="仿宋_GB2312" w:cs="仿宋_GB2312"/>
                <w:sz w:val="24"/>
              </w:rPr>
            </w:pPr>
            <w:r>
              <w:rPr>
                <w:rFonts w:hint="eastAsia" w:ascii="仿宋_GB2312" w:hAnsi="仿宋_GB2312" w:eastAsia="仿宋_GB2312" w:cs="仿宋_GB2312"/>
                <w:sz w:val="24"/>
              </w:rPr>
              <w:t>1</w:t>
            </w:r>
          </w:p>
        </w:tc>
        <w:tc>
          <w:tcPr>
            <w:tcW w:w="2957" w:type="dxa"/>
          </w:tcPr>
          <w:p>
            <w:pPr>
              <w:spacing w:line="400" w:lineRule="exact"/>
              <w:rPr>
                <w:rFonts w:hint="eastAsia" w:ascii="仿宋_GB2312" w:hAnsi="仿宋_GB2312" w:eastAsia="仿宋_GB2312" w:cs="仿宋_GB2312"/>
                <w:sz w:val="24"/>
              </w:rPr>
            </w:pPr>
            <w:r>
              <w:rPr>
                <w:rFonts w:hint="eastAsia" w:ascii="仿宋_GB2312" w:hAnsi="仿宋_GB2312" w:eastAsia="仿宋_GB2312" w:cs="仿宋_GB2312"/>
                <w:sz w:val="24"/>
              </w:rPr>
              <w:t>决策参考</w:t>
            </w:r>
            <w:r>
              <w:rPr>
                <w:rFonts w:hint="eastAsia" w:ascii="仿宋_GB2312" w:hAnsi="仿宋_GB2312" w:eastAsia="仿宋_GB2312" w:cs="仿宋_GB2312"/>
                <w:sz w:val="24"/>
                <w:lang w:eastAsia="zh-CN"/>
              </w:rPr>
              <w:t>每年</w:t>
            </w:r>
            <w:r>
              <w:rPr>
                <w:rFonts w:hint="eastAsia" w:ascii="仿宋_GB2312" w:hAnsi="仿宋_GB2312" w:eastAsia="仿宋_GB2312" w:cs="仿宋_GB2312"/>
                <w:b/>
                <w:bCs/>
                <w:sz w:val="24"/>
              </w:rPr>
              <w:t>不少于</w:t>
            </w:r>
            <w:r>
              <w:rPr>
                <w:rFonts w:hint="eastAsia" w:ascii="仿宋_GB2312" w:hAnsi="仿宋_GB2312" w:eastAsia="仿宋_GB2312" w:cs="仿宋_GB2312"/>
                <w:b/>
                <w:bCs/>
                <w:sz w:val="24"/>
                <w:lang w:val="en-US" w:eastAsia="zh-CN"/>
              </w:rPr>
              <w:t>1</w:t>
            </w:r>
            <w:r>
              <w:rPr>
                <w:rFonts w:hint="eastAsia" w:ascii="仿宋_GB2312" w:hAnsi="仿宋_GB2312" w:eastAsia="仿宋_GB2312" w:cs="仿宋_GB2312"/>
                <w:b/>
                <w:bCs/>
                <w:sz w:val="24"/>
              </w:rPr>
              <w:t>项。</w:t>
            </w:r>
          </w:p>
        </w:tc>
        <w:tc>
          <w:tcPr>
            <w:tcW w:w="2608" w:type="dxa"/>
          </w:tcPr>
          <w:p>
            <w:pPr>
              <w:spacing w:line="400" w:lineRule="exact"/>
              <w:rPr>
                <w:rFonts w:hint="eastAsia" w:ascii="仿宋_GB2312" w:hAnsi="仿宋_GB2312" w:eastAsia="仿宋_GB2312" w:cs="仿宋_GB2312"/>
                <w:sz w:val="24"/>
                <w:lang w:val="en-US" w:eastAsia="zh-CN"/>
              </w:rPr>
            </w:pPr>
            <w:r>
              <w:rPr>
                <w:rFonts w:hint="eastAsia" w:ascii="仿宋_GB2312" w:hAnsi="仿宋_GB2312" w:eastAsia="仿宋_GB2312" w:cs="仿宋_GB2312"/>
                <w:b/>
                <w:bCs/>
                <w:sz w:val="24"/>
              </w:rPr>
              <w:t>完成。</w:t>
            </w:r>
            <w:r>
              <w:rPr>
                <w:rFonts w:hint="eastAsia" w:ascii="仿宋_GB2312" w:hAnsi="仿宋_GB2312" w:eastAsia="仿宋_GB2312" w:cs="仿宋_GB2312"/>
                <w:b w:val="0"/>
                <w:bCs w:val="0"/>
                <w:sz w:val="24"/>
                <w:lang w:val="en-US" w:eastAsia="zh-CN"/>
              </w:rPr>
              <w:t>10项</w:t>
            </w:r>
          </w:p>
        </w:tc>
        <w:tc>
          <w:tcPr>
            <w:tcW w:w="2659" w:type="dxa"/>
          </w:tcPr>
          <w:p>
            <w:pPr>
              <w:spacing w:line="400" w:lineRule="exact"/>
              <w:rPr>
                <w:rFonts w:hint="eastAsia" w:ascii="仿宋_GB2312" w:hAnsi="仿宋_GB2312" w:eastAsia="仿宋_GB2312" w:cs="仿宋_GB2312"/>
                <w:b/>
                <w:bCs/>
                <w:sz w:val="24"/>
                <w:lang w:val="en-US" w:eastAsia="zh-CN"/>
              </w:rPr>
            </w:pPr>
            <w:r>
              <w:rPr>
                <w:rFonts w:hint="eastAsia" w:ascii="仿宋_GB2312" w:hAnsi="仿宋_GB2312" w:eastAsia="仿宋_GB2312" w:cs="仿宋_GB2312"/>
                <w:b/>
                <w:bCs/>
                <w:sz w:val="24"/>
              </w:rPr>
              <w:t>完成。</w:t>
            </w:r>
            <w:r>
              <w:rPr>
                <w:rFonts w:hint="eastAsia" w:ascii="仿宋_GB2312" w:hAnsi="仿宋_GB2312" w:eastAsia="仿宋_GB2312" w:cs="仿宋_GB2312"/>
                <w:b w:val="0"/>
                <w:bCs w:val="0"/>
                <w:sz w:val="24"/>
                <w:lang w:eastAsia="zh-CN"/>
              </w:rPr>
              <w:t>累计完成</w:t>
            </w:r>
            <w:r>
              <w:rPr>
                <w:rFonts w:hint="eastAsia" w:ascii="仿宋_GB2312" w:hAnsi="仿宋_GB2312" w:eastAsia="仿宋_GB2312" w:cs="仿宋_GB2312"/>
                <w:b w:val="0"/>
                <w:bCs w:val="0"/>
                <w:sz w:val="24"/>
                <w:lang w:val="en-US" w:eastAsia="zh-CN"/>
              </w:rPr>
              <w:t>13项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vAlign w:val="center"/>
          </w:tcPr>
          <w:p>
            <w:pPr>
              <w:spacing w:line="400" w:lineRule="exact"/>
              <w:jc w:val="center"/>
              <w:rPr>
                <w:rFonts w:hint="eastAsia" w:ascii="仿宋_GB2312" w:hAnsi="仿宋_GB2312" w:eastAsia="仿宋_GB2312" w:cs="仿宋_GB2312"/>
                <w:sz w:val="24"/>
                <w:lang w:eastAsia="zh-CN"/>
              </w:rPr>
            </w:pPr>
            <w:r>
              <w:rPr>
                <w:rFonts w:hint="eastAsia" w:ascii="仿宋_GB2312" w:hAnsi="仿宋_GB2312" w:eastAsia="仿宋_GB2312" w:cs="仿宋_GB2312"/>
                <w:sz w:val="24"/>
                <w:lang w:val="en-US" w:eastAsia="zh-CN"/>
              </w:rPr>
              <w:t>2</w:t>
            </w:r>
          </w:p>
        </w:tc>
        <w:tc>
          <w:tcPr>
            <w:tcW w:w="2957" w:type="dxa"/>
          </w:tcPr>
          <w:p>
            <w:pPr>
              <w:spacing w:line="400" w:lineRule="exact"/>
              <w:rPr>
                <w:rFonts w:hint="eastAsia" w:ascii="仿宋_GB2312" w:hAnsi="仿宋_GB2312" w:eastAsia="仿宋_GB2312" w:cs="仿宋_GB2312"/>
                <w:sz w:val="24"/>
              </w:rPr>
            </w:pPr>
            <w:r>
              <w:rPr>
                <w:rFonts w:hint="eastAsia" w:ascii="仿宋_GB2312" w:hAnsi="仿宋_GB2312" w:eastAsia="仿宋_GB2312" w:cs="仿宋_GB2312"/>
                <w:b w:val="0"/>
                <w:bCs w:val="0"/>
                <w:sz w:val="24"/>
                <w:lang w:eastAsia="zh-CN"/>
              </w:rPr>
              <w:t>金融科技全球峰会或</w:t>
            </w:r>
            <w:r>
              <w:rPr>
                <w:rFonts w:hint="eastAsia" w:ascii="仿宋_GB2312" w:hAnsi="仿宋_GB2312" w:eastAsia="仿宋_GB2312" w:cs="仿宋_GB2312"/>
                <w:b w:val="0"/>
                <w:bCs w:val="0"/>
                <w:sz w:val="24"/>
              </w:rPr>
              <w:t>高</w:t>
            </w:r>
            <w:r>
              <w:rPr>
                <w:rFonts w:hint="eastAsia" w:ascii="仿宋_GB2312" w:hAnsi="仿宋_GB2312" w:eastAsia="仿宋_GB2312" w:cs="仿宋_GB2312"/>
                <w:b w:val="0"/>
                <w:bCs w:val="0"/>
                <w:sz w:val="24"/>
                <w:lang w:eastAsia="zh-CN"/>
              </w:rPr>
              <w:t>层次</w:t>
            </w:r>
            <w:r>
              <w:rPr>
                <w:rFonts w:hint="eastAsia" w:ascii="仿宋_GB2312" w:hAnsi="仿宋_GB2312" w:eastAsia="仿宋_GB2312" w:cs="仿宋_GB2312"/>
                <w:b w:val="0"/>
                <w:bCs w:val="0"/>
                <w:sz w:val="24"/>
              </w:rPr>
              <w:t>论坛、学术会议和学术讲座</w:t>
            </w:r>
            <w:r>
              <w:rPr>
                <w:rFonts w:hint="eastAsia" w:ascii="仿宋_GB2312" w:hAnsi="仿宋_GB2312" w:eastAsia="仿宋_GB2312" w:cs="仿宋_GB2312"/>
                <w:b w:val="0"/>
                <w:bCs w:val="0"/>
                <w:sz w:val="24"/>
                <w:lang w:eastAsia="zh-CN"/>
              </w:rPr>
              <w:t>等</w:t>
            </w:r>
            <w:r>
              <w:rPr>
                <w:rFonts w:hint="eastAsia" w:ascii="仿宋_GB2312" w:hAnsi="仿宋_GB2312" w:eastAsia="仿宋_GB2312" w:cs="仿宋_GB2312"/>
                <w:b w:val="0"/>
                <w:bCs w:val="0"/>
                <w:sz w:val="24"/>
              </w:rPr>
              <w:t>，</w:t>
            </w:r>
            <w:r>
              <w:rPr>
                <w:rFonts w:hint="eastAsia" w:ascii="仿宋_GB2312" w:hAnsi="仿宋_GB2312" w:eastAsia="仿宋_GB2312" w:cs="仿宋_GB2312"/>
                <w:b/>
                <w:bCs/>
                <w:sz w:val="24"/>
              </w:rPr>
              <w:t>每年</w:t>
            </w:r>
            <w:r>
              <w:rPr>
                <w:rFonts w:hint="eastAsia" w:ascii="仿宋_GB2312" w:hAnsi="仿宋_GB2312" w:eastAsia="仿宋_GB2312" w:cs="仿宋_GB2312"/>
                <w:b/>
                <w:bCs/>
                <w:sz w:val="24"/>
                <w:lang w:eastAsia="zh-CN"/>
              </w:rPr>
              <w:t>至少</w:t>
            </w:r>
            <w:r>
              <w:rPr>
                <w:rFonts w:hint="eastAsia" w:ascii="仿宋_GB2312" w:hAnsi="仿宋_GB2312" w:eastAsia="仿宋_GB2312" w:cs="仿宋_GB2312"/>
                <w:b/>
                <w:bCs/>
                <w:sz w:val="24"/>
                <w:lang w:val="en-US" w:eastAsia="zh-CN"/>
              </w:rPr>
              <w:t>1</w:t>
            </w:r>
            <w:r>
              <w:rPr>
                <w:rFonts w:hint="eastAsia" w:ascii="仿宋_GB2312" w:hAnsi="仿宋_GB2312" w:eastAsia="仿宋_GB2312" w:cs="仿宋_GB2312"/>
                <w:b/>
                <w:bCs/>
                <w:sz w:val="24"/>
              </w:rPr>
              <w:t>场。</w:t>
            </w:r>
          </w:p>
        </w:tc>
        <w:tc>
          <w:tcPr>
            <w:tcW w:w="2608" w:type="dxa"/>
          </w:tcPr>
          <w:p>
            <w:pPr>
              <w:spacing w:line="400" w:lineRule="exact"/>
              <w:rPr>
                <w:rFonts w:hint="eastAsia" w:ascii="仿宋_GB2312" w:hAnsi="仿宋_GB2312" w:eastAsia="仿宋_GB2312" w:cs="仿宋_GB2312"/>
                <w:sz w:val="24"/>
              </w:rPr>
            </w:pPr>
            <w:r>
              <w:rPr>
                <w:rFonts w:hint="eastAsia" w:ascii="仿宋_GB2312" w:hAnsi="仿宋_GB2312" w:eastAsia="仿宋_GB2312" w:cs="仿宋_GB2312"/>
                <w:b/>
                <w:bCs/>
                <w:sz w:val="24"/>
              </w:rPr>
              <w:t>完成。</w:t>
            </w:r>
            <w:r>
              <w:rPr>
                <w:rFonts w:hint="eastAsia" w:ascii="仿宋_GB2312" w:hAnsi="仿宋_GB2312" w:eastAsia="仿宋_GB2312" w:cs="仿宋_GB2312"/>
                <w:b/>
                <w:bCs/>
                <w:sz w:val="24"/>
                <w:lang w:val="en-US" w:eastAsia="zh-CN"/>
              </w:rPr>
              <w:t>11</w:t>
            </w:r>
            <w:r>
              <w:rPr>
                <w:rFonts w:hint="eastAsia" w:ascii="仿宋_GB2312" w:hAnsi="仿宋_GB2312" w:eastAsia="仿宋_GB2312" w:cs="仿宋_GB2312"/>
                <w:sz w:val="24"/>
              </w:rPr>
              <w:t>场</w:t>
            </w:r>
          </w:p>
        </w:tc>
        <w:tc>
          <w:tcPr>
            <w:tcW w:w="2659" w:type="dxa"/>
          </w:tcPr>
          <w:p>
            <w:pPr>
              <w:spacing w:line="400" w:lineRule="exact"/>
              <w:rPr>
                <w:rFonts w:hint="eastAsia" w:ascii="仿宋_GB2312" w:hAnsi="仿宋_GB2312" w:eastAsia="仿宋_GB2312" w:cs="仿宋_GB2312"/>
                <w:sz w:val="24"/>
              </w:rPr>
            </w:pPr>
            <w:r>
              <w:rPr>
                <w:rFonts w:hint="eastAsia" w:ascii="仿宋_GB2312" w:hAnsi="仿宋_GB2312" w:eastAsia="仿宋_GB2312" w:cs="仿宋_GB2312"/>
                <w:b/>
                <w:bCs/>
                <w:sz w:val="24"/>
              </w:rPr>
              <w:t>完成。</w:t>
            </w:r>
            <w:r>
              <w:rPr>
                <w:rFonts w:hint="eastAsia" w:ascii="仿宋_GB2312" w:hAnsi="仿宋_GB2312" w:eastAsia="仿宋_GB2312" w:cs="仿宋_GB2312"/>
                <w:b/>
                <w:bCs/>
                <w:sz w:val="24"/>
                <w:lang w:val="en-US" w:eastAsia="zh-CN"/>
              </w:rPr>
              <w:t>12</w:t>
            </w:r>
            <w:r>
              <w:rPr>
                <w:rFonts w:hint="eastAsia" w:ascii="仿宋_GB2312" w:hAnsi="仿宋_GB2312" w:eastAsia="仿宋_GB2312" w:cs="仿宋_GB2312"/>
                <w:b w:val="0"/>
                <w:bCs w:val="0"/>
                <w:sz w:val="24"/>
                <w:lang w:val="en-US" w:eastAsia="zh-CN"/>
              </w:rPr>
              <w:t>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3" w:type="dxa"/>
            <w:vAlign w:val="center"/>
          </w:tcPr>
          <w:p>
            <w:pPr>
              <w:spacing w:line="400" w:lineRule="exact"/>
              <w:jc w:val="center"/>
              <w:rPr>
                <w:rFonts w:hint="eastAsia" w:ascii="仿宋_GB2312" w:hAnsi="仿宋_GB2312" w:eastAsia="仿宋_GB2312" w:cs="仿宋_GB2312"/>
                <w:sz w:val="24"/>
                <w:lang w:eastAsia="zh-CN"/>
              </w:rPr>
            </w:pPr>
            <w:r>
              <w:rPr>
                <w:rFonts w:hint="eastAsia" w:ascii="仿宋_GB2312" w:hAnsi="仿宋_GB2312" w:eastAsia="仿宋_GB2312" w:cs="仿宋_GB2312"/>
                <w:sz w:val="24"/>
                <w:lang w:val="en-US" w:eastAsia="zh-CN"/>
              </w:rPr>
              <w:t>3</w:t>
            </w:r>
          </w:p>
        </w:tc>
        <w:tc>
          <w:tcPr>
            <w:tcW w:w="2957" w:type="dxa"/>
          </w:tcPr>
          <w:p>
            <w:pPr>
              <w:spacing w:line="400" w:lineRule="exact"/>
              <w:rPr>
                <w:rFonts w:hint="eastAsia" w:ascii="仿宋_GB2312" w:hAnsi="仿宋_GB2312" w:eastAsia="仿宋_GB2312" w:cs="仿宋_GB2312"/>
                <w:sz w:val="24"/>
                <w:lang w:val="en-US" w:eastAsia="zh-CN"/>
              </w:rPr>
            </w:pPr>
            <w:r>
              <w:rPr>
                <w:rFonts w:hint="eastAsia" w:ascii="仿宋_GB2312" w:hAnsi="仿宋_GB2312" w:eastAsia="仿宋_GB2312" w:cs="仿宋_GB2312"/>
                <w:sz w:val="24"/>
                <w:lang w:eastAsia="zh-CN"/>
              </w:rPr>
              <w:t>培养金融科技类研究生</w:t>
            </w:r>
            <w:r>
              <w:rPr>
                <w:rFonts w:hint="eastAsia" w:ascii="仿宋_GB2312" w:hAnsi="仿宋_GB2312" w:eastAsia="仿宋_GB2312" w:cs="仿宋_GB2312"/>
                <w:sz w:val="24"/>
              </w:rPr>
              <w:t>。</w:t>
            </w:r>
            <w:r>
              <w:rPr>
                <w:rFonts w:hint="eastAsia" w:ascii="仿宋_GB2312" w:hAnsi="仿宋_GB2312" w:eastAsia="仿宋_GB2312" w:cs="仿宋_GB2312"/>
                <w:b w:val="0"/>
                <w:bCs w:val="0"/>
                <w:sz w:val="24"/>
                <w:lang w:eastAsia="zh-CN"/>
              </w:rPr>
              <w:t>每年培养规模</w:t>
            </w:r>
            <w:r>
              <w:rPr>
                <w:rFonts w:hint="eastAsia" w:ascii="仿宋_GB2312" w:hAnsi="仿宋_GB2312" w:eastAsia="仿宋_GB2312" w:cs="仿宋_GB2312"/>
                <w:b w:val="0"/>
                <w:bCs w:val="0"/>
                <w:sz w:val="24"/>
                <w:lang w:val="en-US" w:eastAsia="zh-CN"/>
              </w:rPr>
              <w:t>80人，五年内达到在校生规模200人。</w:t>
            </w:r>
          </w:p>
        </w:tc>
        <w:tc>
          <w:tcPr>
            <w:tcW w:w="5267" w:type="dxa"/>
            <w:gridSpan w:val="2"/>
          </w:tcPr>
          <w:p>
            <w:pPr>
              <w:spacing w:line="400" w:lineRule="exact"/>
              <w:rPr>
                <w:rFonts w:hint="eastAsia" w:ascii="仿宋_GB2312" w:hAnsi="仿宋_GB2312" w:eastAsia="仿宋_GB2312" w:cs="仿宋_GB2312"/>
                <w:b/>
                <w:bCs/>
                <w:sz w:val="24"/>
                <w:highlight w:val="none"/>
                <w:lang w:val="en-US" w:eastAsia="zh-CN"/>
              </w:rPr>
            </w:pPr>
            <w:r>
              <w:rPr>
                <w:rFonts w:hint="eastAsia" w:ascii="仿宋_GB2312" w:hAnsi="仿宋_GB2312" w:eastAsia="仿宋_GB2312" w:cs="仿宋_GB2312"/>
                <w:b w:val="0"/>
                <w:bCs w:val="0"/>
                <w:sz w:val="24"/>
                <w:highlight w:val="none"/>
                <w:lang w:val="en-US" w:eastAsia="zh-CN"/>
              </w:rPr>
              <w:t>因研究院不具备独立招生资质，在研究生联合培养的方案上，与深大金融科技学院进行积极的沟通和探讨，计划通过举办学术讲座、共建实验班等方式开展学生联合培养工作。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vAlign w:val="center"/>
          </w:tcPr>
          <w:p>
            <w:pPr>
              <w:spacing w:line="400" w:lineRule="exact"/>
              <w:jc w:val="center"/>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sz w:val="24"/>
                <w:lang w:val="en-US" w:eastAsia="zh-CN"/>
              </w:rPr>
              <w:t>4</w:t>
            </w:r>
          </w:p>
        </w:tc>
        <w:tc>
          <w:tcPr>
            <w:tcW w:w="2957" w:type="dxa"/>
            <w:vAlign w:val="top"/>
          </w:tcPr>
          <w:p>
            <w:pPr>
              <w:spacing w:line="400" w:lineRule="exact"/>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sz w:val="24"/>
                <w:lang w:eastAsia="zh-CN"/>
              </w:rPr>
              <w:t>为港、澳籍学生提供交流机会每年</w:t>
            </w:r>
            <w:r>
              <w:rPr>
                <w:rFonts w:hint="eastAsia" w:ascii="仿宋_GB2312" w:hAnsi="仿宋_GB2312" w:eastAsia="仿宋_GB2312" w:cs="仿宋_GB2312"/>
                <w:b/>
                <w:bCs/>
                <w:sz w:val="24"/>
                <w:lang w:eastAsia="zh-CN"/>
              </w:rPr>
              <w:t>不低于20人次</w:t>
            </w:r>
          </w:p>
        </w:tc>
        <w:tc>
          <w:tcPr>
            <w:tcW w:w="5267" w:type="dxa"/>
            <w:gridSpan w:val="2"/>
            <w:vAlign w:val="top"/>
          </w:tcPr>
          <w:p>
            <w:pPr>
              <w:spacing w:line="400" w:lineRule="exact"/>
              <w:rPr>
                <w:rFonts w:hint="eastAsia" w:ascii="仿宋_GB2312" w:hAnsi="仿宋_GB2312" w:eastAsia="仿宋_GB2312" w:cs="仿宋_GB2312"/>
                <w:b/>
                <w:bCs/>
                <w:kern w:val="2"/>
                <w:sz w:val="24"/>
                <w:szCs w:val="24"/>
                <w:highlight w:val="none"/>
                <w:lang w:val="en-US" w:eastAsia="zh-CN" w:bidi="ar-SA"/>
              </w:rPr>
            </w:pPr>
            <w:r>
              <w:rPr>
                <w:rFonts w:hint="eastAsia" w:ascii="仿宋_GB2312" w:hAnsi="仿宋_GB2312" w:eastAsia="仿宋_GB2312" w:cs="仿宋_GB2312"/>
                <w:b w:val="0"/>
                <w:bCs w:val="0"/>
                <w:sz w:val="24"/>
                <w:highlight w:val="none"/>
                <w:lang w:val="en-US" w:eastAsia="zh-CN"/>
              </w:rPr>
              <w:t>研究院将结合深圳大学金融科技学院学生培养项目共同推进。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vAlign w:val="center"/>
          </w:tcPr>
          <w:p>
            <w:pPr>
              <w:spacing w:line="400" w:lineRule="exact"/>
              <w:jc w:val="center"/>
              <w:rPr>
                <w:rFonts w:hint="default" w:ascii="仿宋_GB2312" w:hAnsi="仿宋_GB2312" w:eastAsia="仿宋_GB2312" w:cs="仿宋_GB2312"/>
                <w:sz w:val="24"/>
                <w:lang w:val="en-US" w:eastAsia="zh-CN"/>
              </w:rPr>
            </w:pPr>
            <w:r>
              <w:rPr>
                <w:rFonts w:hint="eastAsia" w:ascii="仿宋_GB2312" w:hAnsi="仿宋_GB2312" w:eastAsia="仿宋_GB2312" w:cs="仿宋_GB2312"/>
                <w:sz w:val="24"/>
                <w:lang w:val="en-US" w:eastAsia="zh-CN"/>
              </w:rPr>
              <w:t>5</w:t>
            </w:r>
          </w:p>
        </w:tc>
        <w:tc>
          <w:tcPr>
            <w:tcW w:w="2957" w:type="dxa"/>
            <w:vAlign w:val="top"/>
          </w:tcPr>
          <w:p>
            <w:pPr>
              <w:spacing w:line="400" w:lineRule="exact"/>
              <w:rPr>
                <w:rFonts w:hint="default" w:ascii="仿宋_GB2312" w:hAnsi="仿宋_GB2312" w:eastAsia="仿宋_GB2312" w:cs="仿宋_GB2312"/>
                <w:sz w:val="24"/>
                <w:lang w:val="en-US" w:eastAsia="zh-CN"/>
              </w:rPr>
            </w:pPr>
            <w:r>
              <w:rPr>
                <w:rFonts w:hint="eastAsia" w:ascii="仿宋_GB2312" w:hAnsi="仿宋_GB2312" w:eastAsia="仿宋_GB2312" w:cs="仿宋_GB2312"/>
                <w:sz w:val="24"/>
                <w:lang w:eastAsia="zh-CN"/>
              </w:rPr>
              <w:t>每年举办大型活动</w:t>
            </w:r>
            <w:r>
              <w:rPr>
                <w:rFonts w:hint="eastAsia" w:ascii="仿宋_GB2312" w:hAnsi="仿宋_GB2312" w:eastAsia="仿宋_GB2312" w:cs="仿宋_GB2312"/>
                <w:b/>
                <w:bCs/>
                <w:sz w:val="24"/>
                <w:lang w:eastAsia="zh-CN"/>
              </w:rPr>
              <w:t>不少于</w:t>
            </w:r>
            <w:r>
              <w:rPr>
                <w:rFonts w:hint="eastAsia" w:ascii="仿宋_GB2312" w:hAnsi="仿宋_GB2312" w:eastAsia="仿宋_GB2312" w:cs="仿宋_GB2312"/>
                <w:b/>
                <w:bCs/>
                <w:sz w:val="24"/>
                <w:lang w:val="en-US" w:eastAsia="zh-CN"/>
              </w:rPr>
              <w:t>1次</w:t>
            </w:r>
            <w:r>
              <w:rPr>
                <w:rFonts w:hint="eastAsia" w:ascii="仿宋_GB2312" w:hAnsi="仿宋_GB2312" w:eastAsia="仿宋_GB2312" w:cs="仿宋_GB2312"/>
                <w:sz w:val="24"/>
                <w:lang w:val="en-US" w:eastAsia="zh-CN"/>
              </w:rPr>
              <w:t>。</w:t>
            </w:r>
          </w:p>
        </w:tc>
        <w:tc>
          <w:tcPr>
            <w:tcW w:w="2608" w:type="dxa"/>
            <w:vAlign w:val="top"/>
          </w:tcPr>
          <w:p>
            <w:pPr>
              <w:spacing w:line="400" w:lineRule="exact"/>
              <w:rPr>
                <w:rFonts w:hint="default" w:ascii="仿宋_GB2312" w:hAnsi="仿宋_GB2312" w:eastAsia="仿宋_GB2312" w:cs="仿宋_GB2312"/>
                <w:b/>
                <w:bCs/>
                <w:sz w:val="24"/>
                <w:highlight w:val="none"/>
                <w:lang w:val="en-US" w:eastAsia="zh-CN"/>
              </w:rPr>
            </w:pPr>
            <w:r>
              <w:rPr>
                <w:rFonts w:hint="eastAsia" w:ascii="仿宋_GB2312" w:hAnsi="仿宋_GB2312" w:eastAsia="仿宋_GB2312" w:cs="仿宋_GB2312"/>
                <w:b/>
                <w:bCs/>
                <w:sz w:val="24"/>
                <w:highlight w:val="none"/>
                <w:lang w:eastAsia="zh-CN"/>
              </w:rPr>
              <w:t>完成。</w:t>
            </w:r>
            <w:r>
              <w:rPr>
                <w:rFonts w:hint="eastAsia" w:ascii="仿宋_GB2312" w:hAnsi="仿宋_GB2312" w:eastAsia="仿宋_GB2312" w:cs="仿宋_GB2312"/>
                <w:b w:val="0"/>
                <w:bCs w:val="0"/>
                <w:sz w:val="24"/>
                <w:highlight w:val="none"/>
                <w:lang w:eastAsia="zh-CN"/>
              </w:rPr>
              <w:t>金融科技大赛</w:t>
            </w:r>
            <w:r>
              <w:rPr>
                <w:rFonts w:hint="eastAsia" w:ascii="仿宋_GB2312" w:hAnsi="仿宋_GB2312" w:eastAsia="仿宋_GB2312" w:cs="仿宋_GB2312"/>
                <w:b w:val="0"/>
                <w:bCs w:val="0"/>
                <w:sz w:val="24"/>
                <w:highlight w:val="none"/>
                <w:lang w:val="en-US" w:eastAsia="zh-CN"/>
              </w:rPr>
              <w:t>1次</w:t>
            </w:r>
          </w:p>
        </w:tc>
        <w:tc>
          <w:tcPr>
            <w:tcW w:w="2659" w:type="dxa"/>
            <w:vAlign w:val="top"/>
          </w:tcPr>
          <w:p>
            <w:pPr>
              <w:spacing w:line="400" w:lineRule="exact"/>
              <w:rPr>
                <w:rFonts w:hint="default" w:ascii="仿宋_GB2312" w:hAnsi="仿宋_GB2312" w:eastAsia="仿宋_GB2312" w:cs="仿宋_GB2312"/>
                <w:b w:val="0"/>
                <w:bCs w:val="0"/>
                <w:sz w:val="24"/>
                <w:highlight w:val="none"/>
                <w:lang w:val="en-US" w:eastAsia="zh-CN"/>
              </w:rPr>
            </w:pPr>
            <w:r>
              <w:rPr>
                <w:rFonts w:hint="eastAsia" w:ascii="仿宋_GB2312" w:hAnsi="仿宋_GB2312" w:eastAsia="仿宋_GB2312" w:cs="仿宋_GB2312"/>
                <w:b w:val="0"/>
                <w:bCs w:val="0"/>
                <w:sz w:val="24"/>
                <w:highlight w:val="none"/>
                <w:lang w:eastAsia="zh-CN"/>
              </w:rPr>
              <w:t>累计</w:t>
            </w:r>
            <w:r>
              <w:rPr>
                <w:rFonts w:hint="eastAsia" w:ascii="仿宋_GB2312" w:hAnsi="仿宋_GB2312" w:eastAsia="仿宋_GB2312" w:cs="仿宋_GB2312"/>
                <w:b w:val="0"/>
                <w:bCs w:val="0"/>
                <w:sz w:val="24"/>
                <w:highlight w:val="none"/>
                <w:lang w:val="en-US" w:eastAsia="zh-CN"/>
              </w:rPr>
              <w:t>3次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vAlign w:val="center"/>
          </w:tcPr>
          <w:p>
            <w:pPr>
              <w:spacing w:line="400" w:lineRule="exact"/>
              <w:jc w:val="center"/>
              <w:rPr>
                <w:rFonts w:hint="default" w:ascii="仿宋_GB2312" w:hAnsi="仿宋_GB2312" w:eastAsia="仿宋_GB2312" w:cs="仿宋_GB2312"/>
                <w:sz w:val="24"/>
                <w:lang w:val="en-US" w:eastAsia="zh-CN"/>
              </w:rPr>
            </w:pPr>
            <w:r>
              <w:rPr>
                <w:rFonts w:hint="eastAsia" w:ascii="仿宋_GB2312" w:hAnsi="仿宋_GB2312" w:eastAsia="仿宋_GB2312" w:cs="仿宋_GB2312"/>
                <w:sz w:val="24"/>
                <w:lang w:val="en-US" w:eastAsia="zh-CN"/>
              </w:rPr>
              <w:t>6</w:t>
            </w:r>
          </w:p>
        </w:tc>
        <w:tc>
          <w:tcPr>
            <w:tcW w:w="2957" w:type="dxa"/>
            <w:vAlign w:val="top"/>
          </w:tcPr>
          <w:p>
            <w:pPr>
              <w:spacing w:line="400" w:lineRule="exact"/>
              <w:rPr>
                <w:rFonts w:hint="eastAsia" w:ascii="仿宋_GB2312" w:hAnsi="仿宋_GB2312" w:eastAsia="仿宋_GB2312" w:cs="仿宋_GB2312"/>
                <w:sz w:val="24"/>
                <w:lang w:eastAsia="zh-CN"/>
              </w:rPr>
            </w:pPr>
            <w:r>
              <w:rPr>
                <w:rFonts w:hint="eastAsia" w:ascii="仿宋_GB2312" w:hAnsi="仿宋_GB2312" w:eastAsia="仿宋_GB2312" w:cs="仿宋_GB2312"/>
                <w:sz w:val="24"/>
                <w:lang w:eastAsia="zh-CN"/>
              </w:rPr>
              <w:t>举办或协办</w:t>
            </w:r>
            <w:r>
              <w:rPr>
                <w:rFonts w:hint="eastAsia" w:ascii="仿宋_GB2312" w:hAnsi="仿宋_GB2312" w:eastAsia="仿宋_GB2312" w:cs="仿宋_GB2312"/>
                <w:sz w:val="24"/>
                <w:lang w:val="en-US" w:eastAsia="zh-CN"/>
              </w:rPr>
              <w:t>交流活动</w:t>
            </w:r>
            <w:r>
              <w:rPr>
                <w:rFonts w:hint="eastAsia" w:ascii="仿宋_GB2312" w:hAnsi="仿宋_GB2312" w:eastAsia="仿宋_GB2312" w:cs="仿宋_GB2312"/>
                <w:b/>
                <w:bCs/>
                <w:sz w:val="24"/>
                <w:lang w:val="en-US" w:eastAsia="zh-CN"/>
              </w:rPr>
              <w:t>不少于1次。</w:t>
            </w:r>
          </w:p>
        </w:tc>
        <w:tc>
          <w:tcPr>
            <w:tcW w:w="2608" w:type="dxa"/>
            <w:vAlign w:val="top"/>
          </w:tcPr>
          <w:p>
            <w:pPr>
              <w:spacing w:line="400" w:lineRule="exact"/>
              <w:rPr>
                <w:rFonts w:hint="eastAsia" w:ascii="仿宋_GB2312" w:hAnsi="仿宋_GB2312" w:eastAsia="仿宋_GB2312" w:cs="仿宋_GB2312"/>
                <w:b/>
                <w:bCs/>
                <w:sz w:val="24"/>
                <w:highlight w:val="none"/>
                <w:lang w:eastAsia="zh-CN"/>
              </w:rPr>
            </w:pPr>
            <w:r>
              <w:rPr>
                <w:rFonts w:hint="eastAsia" w:ascii="仿宋_GB2312" w:hAnsi="仿宋_GB2312" w:eastAsia="仿宋_GB2312" w:cs="仿宋_GB2312"/>
                <w:b/>
                <w:bCs/>
                <w:sz w:val="24"/>
                <w:lang w:val="en-US" w:eastAsia="zh-CN"/>
              </w:rPr>
              <w:t>完成。</w:t>
            </w:r>
            <w:r>
              <w:rPr>
                <w:rFonts w:hint="eastAsia" w:ascii="仿宋_GB2312" w:hAnsi="仿宋_GB2312" w:eastAsia="仿宋_GB2312" w:cs="仿宋_GB2312"/>
                <w:b w:val="0"/>
                <w:bCs w:val="0"/>
                <w:sz w:val="24"/>
                <w:lang w:val="en-US" w:eastAsia="zh-CN"/>
              </w:rPr>
              <w:t>15场</w:t>
            </w:r>
            <w:r>
              <w:rPr>
                <w:rFonts w:hint="eastAsia" w:ascii="仿宋_GB2312" w:hAnsi="仿宋_GB2312" w:eastAsia="仿宋_GB2312" w:cs="仿宋_GB2312"/>
                <w:b w:val="0"/>
                <w:bCs w:val="0"/>
                <w:sz w:val="24"/>
                <w:lang w:eastAsia="zh-CN"/>
              </w:rPr>
              <w:t>。</w:t>
            </w:r>
          </w:p>
        </w:tc>
        <w:tc>
          <w:tcPr>
            <w:tcW w:w="2659" w:type="dxa"/>
            <w:vAlign w:val="top"/>
          </w:tcPr>
          <w:p>
            <w:pPr>
              <w:spacing w:line="400" w:lineRule="exact"/>
              <w:rPr>
                <w:rFonts w:hint="default" w:ascii="仿宋_GB2312" w:hAnsi="仿宋_GB2312" w:eastAsia="仿宋_GB2312" w:cs="仿宋_GB2312"/>
                <w:b w:val="0"/>
                <w:bCs w:val="0"/>
                <w:sz w:val="24"/>
                <w:highlight w:val="none"/>
                <w:lang w:val="en-US" w:eastAsia="zh-CN"/>
              </w:rPr>
            </w:pPr>
            <w:r>
              <w:rPr>
                <w:rFonts w:hint="eastAsia" w:ascii="仿宋_GB2312" w:hAnsi="仿宋_GB2312" w:eastAsia="仿宋_GB2312" w:cs="仿宋_GB2312"/>
                <w:b w:val="0"/>
                <w:bCs w:val="0"/>
                <w:sz w:val="24"/>
                <w:highlight w:val="none"/>
                <w:lang w:eastAsia="zh-CN"/>
              </w:rPr>
              <w:t>累计</w:t>
            </w:r>
            <w:r>
              <w:rPr>
                <w:rFonts w:hint="eastAsia" w:ascii="仿宋_GB2312" w:hAnsi="仿宋_GB2312" w:eastAsia="仿宋_GB2312" w:cs="仿宋_GB2312"/>
                <w:b w:val="0"/>
                <w:bCs w:val="0"/>
                <w:sz w:val="24"/>
                <w:highlight w:val="none"/>
                <w:lang w:val="en-US" w:eastAsia="zh-CN"/>
              </w:rPr>
              <w:t>19场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3" w:type="dxa"/>
            <w:vAlign w:val="center"/>
          </w:tcPr>
          <w:p>
            <w:pPr>
              <w:spacing w:line="400" w:lineRule="exact"/>
              <w:jc w:val="center"/>
              <w:rPr>
                <w:rFonts w:hint="default" w:ascii="仿宋_GB2312" w:hAnsi="仿宋_GB2312" w:eastAsia="仿宋_GB2312" w:cs="仿宋_GB2312"/>
                <w:kern w:val="2"/>
                <w:sz w:val="24"/>
                <w:szCs w:val="24"/>
                <w:lang w:val="en-US" w:eastAsia="zh-CN" w:bidi="ar-SA"/>
              </w:rPr>
            </w:pPr>
            <w:r>
              <w:rPr>
                <w:rFonts w:hint="eastAsia" w:ascii="仿宋_GB2312" w:hAnsi="仿宋_GB2312" w:eastAsia="仿宋_GB2312" w:cs="仿宋_GB2312"/>
                <w:kern w:val="2"/>
                <w:sz w:val="24"/>
                <w:szCs w:val="24"/>
                <w:lang w:val="en-US" w:eastAsia="zh-CN" w:bidi="ar-SA"/>
              </w:rPr>
              <w:t>7</w:t>
            </w:r>
          </w:p>
        </w:tc>
        <w:tc>
          <w:tcPr>
            <w:tcW w:w="2957" w:type="dxa"/>
            <w:vAlign w:val="top"/>
          </w:tcPr>
          <w:p>
            <w:pPr>
              <w:spacing w:line="400" w:lineRule="exact"/>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sz w:val="24"/>
              </w:rPr>
              <w:t>高端培训（为政府和金融机构高端人才提供），每年</w:t>
            </w:r>
            <w:r>
              <w:rPr>
                <w:rFonts w:hint="eastAsia" w:ascii="仿宋_GB2312" w:hAnsi="仿宋_GB2312" w:eastAsia="仿宋_GB2312" w:cs="仿宋_GB2312"/>
                <w:b/>
                <w:bCs/>
                <w:sz w:val="24"/>
                <w:lang w:eastAsia="zh-CN"/>
              </w:rPr>
              <w:t>不低于</w:t>
            </w:r>
            <w:r>
              <w:rPr>
                <w:rFonts w:hint="eastAsia" w:ascii="仿宋_GB2312" w:hAnsi="仿宋_GB2312" w:eastAsia="仿宋_GB2312" w:cs="仿宋_GB2312"/>
                <w:b/>
                <w:bCs/>
                <w:sz w:val="24"/>
                <w:lang w:val="en-US" w:eastAsia="zh-CN"/>
              </w:rPr>
              <w:t>1场</w:t>
            </w:r>
            <w:r>
              <w:rPr>
                <w:rFonts w:hint="eastAsia" w:ascii="仿宋_GB2312" w:hAnsi="仿宋_GB2312" w:eastAsia="仿宋_GB2312" w:cs="仿宋_GB2312"/>
                <w:b/>
                <w:bCs/>
                <w:sz w:val="24"/>
              </w:rPr>
              <w:t>。</w:t>
            </w:r>
          </w:p>
        </w:tc>
        <w:tc>
          <w:tcPr>
            <w:tcW w:w="5267" w:type="dxa"/>
            <w:gridSpan w:val="2"/>
            <w:vAlign w:val="top"/>
          </w:tcPr>
          <w:p>
            <w:pPr>
              <w:spacing w:line="400" w:lineRule="exact"/>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b/>
                <w:bCs/>
                <w:sz w:val="24"/>
                <w:lang w:eastAsia="zh-CN"/>
              </w:rPr>
              <w:t>推进中</w:t>
            </w:r>
            <w:r>
              <w:rPr>
                <w:rFonts w:hint="eastAsia" w:ascii="仿宋_GB2312" w:hAnsi="仿宋_GB2312" w:eastAsia="仿宋_GB2312" w:cs="仿宋_GB2312"/>
                <w:b/>
                <w:bCs/>
                <w:sz w:val="24"/>
              </w:rPr>
              <w:t>。</w:t>
            </w:r>
            <w:r>
              <w:rPr>
                <w:rFonts w:hint="eastAsia" w:ascii="仿宋_GB2312" w:hAnsi="仿宋_GB2312" w:eastAsia="仿宋_GB2312" w:cs="仿宋_GB2312"/>
                <w:b w:val="0"/>
                <w:bCs w:val="0"/>
                <w:sz w:val="24"/>
                <w:highlight w:val="none"/>
                <w:lang w:val="en-US" w:eastAsia="zh-CN"/>
              </w:rPr>
              <w:t>深业上城临时办学空间场地于2024年12月装修完成验收通过正式入驻，将进一步对接福田区需求，开展相关培训。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vAlign w:val="center"/>
          </w:tcPr>
          <w:p>
            <w:pPr>
              <w:spacing w:line="400" w:lineRule="exact"/>
              <w:jc w:val="center"/>
              <w:rPr>
                <w:rFonts w:hint="default" w:ascii="仿宋_GB2312" w:hAnsi="仿宋_GB2312" w:eastAsia="仿宋_GB2312" w:cs="仿宋_GB2312"/>
                <w:kern w:val="2"/>
                <w:sz w:val="24"/>
                <w:szCs w:val="24"/>
                <w:lang w:val="en-US" w:eastAsia="zh-CN" w:bidi="ar-SA"/>
              </w:rPr>
            </w:pPr>
            <w:r>
              <w:rPr>
                <w:rFonts w:hint="eastAsia" w:ascii="仿宋_GB2312" w:hAnsi="仿宋_GB2312" w:eastAsia="仿宋_GB2312" w:cs="仿宋_GB2312"/>
                <w:kern w:val="2"/>
                <w:sz w:val="24"/>
                <w:szCs w:val="24"/>
                <w:lang w:val="en-US" w:eastAsia="zh-CN" w:bidi="ar-SA"/>
              </w:rPr>
              <w:t>8</w:t>
            </w:r>
          </w:p>
        </w:tc>
        <w:tc>
          <w:tcPr>
            <w:tcW w:w="2957" w:type="dxa"/>
            <w:vAlign w:val="top"/>
          </w:tcPr>
          <w:p>
            <w:pPr>
              <w:spacing w:line="400" w:lineRule="exact"/>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sz w:val="24"/>
              </w:rPr>
              <w:t>高层次人才引进，5年内引进</w:t>
            </w:r>
            <w:r>
              <w:rPr>
                <w:rFonts w:hint="eastAsia" w:ascii="仿宋_GB2312" w:hAnsi="仿宋_GB2312" w:eastAsia="仿宋_GB2312" w:cs="仿宋_GB2312"/>
                <w:b/>
                <w:bCs/>
                <w:sz w:val="24"/>
              </w:rPr>
              <w:t>不低于</w:t>
            </w:r>
            <w:r>
              <w:rPr>
                <w:rFonts w:hint="eastAsia" w:ascii="仿宋_GB2312" w:hAnsi="仿宋_GB2312" w:eastAsia="仿宋_GB2312" w:cs="仿宋_GB2312"/>
                <w:b/>
                <w:bCs/>
                <w:sz w:val="24"/>
                <w:lang w:val="en-US" w:eastAsia="zh-CN"/>
              </w:rPr>
              <w:t>10</w:t>
            </w:r>
            <w:r>
              <w:rPr>
                <w:rFonts w:hint="eastAsia" w:ascii="仿宋_GB2312" w:hAnsi="仿宋_GB2312" w:eastAsia="仿宋_GB2312" w:cs="仿宋_GB2312"/>
                <w:b/>
                <w:bCs/>
                <w:sz w:val="24"/>
              </w:rPr>
              <w:t>名。</w:t>
            </w:r>
          </w:p>
        </w:tc>
        <w:tc>
          <w:tcPr>
            <w:tcW w:w="5267" w:type="dxa"/>
            <w:gridSpan w:val="2"/>
            <w:vAlign w:val="top"/>
          </w:tcPr>
          <w:p>
            <w:pPr>
              <w:spacing w:line="400" w:lineRule="exact"/>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sz w:val="24"/>
                <w:highlight w:val="none"/>
                <w:lang w:val="en-US" w:eastAsia="zh-CN"/>
              </w:rPr>
              <w:t>引进高层次人才需要支付高额的薪酬，鉴于研究院经费有限，目前采用学术委员牵头+外部专家兼职模式，通过课题合作、联合研究等柔性引才方式推进各项研究工作，目前已取得较好的阶段性成果。未来如资金条件允许，研究院将及时启动引进并培养经济金融领域高层次人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vAlign w:val="center"/>
          </w:tcPr>
          <w:p>
            <w:pPr>
              <w:spacing w:line="400" w:lineRule="exact"/>
              <w:jc w:val="center"/>
              <w:rPr>
                <w:rFonts w:hint="default" w:ascii="仿宋_GB2312" w:hAnsi="仿宋_GB2312" w:eastAsia="仿宋_GB2312" w:cs="仿宋_GB2312"/>
                <w:kern w:val="2"/>
                <w:sz w:val="24"/>
                <w:szCs w:val="24"/>
                <w:lang w:val="en-US" w:eastAsia="zh-CN" w:bidi="ar-SA"/>
              </w:rPr>
            </w:pPr>
            <w:r>
              <w:rPr>
                <w:rFonts w:hint="eastAsia" w:ascii="仿宋_GB2312" w:hAnsi="仿宋_GB2312" w:eastAsia="仿宋_GB2312" w:cs="仿宋_GB2312"/>
                <w:kern w:val="2"/>
                <w:sz w:val="24"/>
                <w:szCs w:val="24"/>
                <w:lang w:val="en-US" w:eastAsia="zh-CN" w:bidi="ar-SA"/>
              </w:rPr>
              <w:t>9</w:t>
            </w:r>
          </w:p>
        </w:tc>
        <w:tc>
          <w:tcPr>
            <w:tcW w:w="2957" w:type="dxa"/>
            <w:vAlign w:val="top"/>
          </w:tcPr>
          <w:p>
            <w:pPr>
              <w:spacing w:line="400" w:lineRule="exact"/>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sz w:val="24"/>
                <w:lang w:eastAsia="zh-CN"/>
              </w:rPr>
              <w:t>为福田区提供金融科技人才培训服务每年</w:t>
            </w:r>
            <w:r>
              <w:rPr>
                <w:rFonts w:hint="eastAsia" w:ascii="仿宋_GB2312" w:hAnsi="仿宋_GB2312" w:eastAsia="仿宋_GB2312" w:cs="仿宋_GB2312"/>
                <w:b/>
                <w:bCs/>
                <w:sz w:val="24"/>
                <w:lang w:eastAsia="zh-CN"/>
              </w:rPr>
              <w:t>不低于100人次。</w:t>
            </w:r>
          </w:p>
        </w:tc>
        <w:tc>
          <w:tcPr>
            <w:tcW w:w="5267" w:type="dxa"/>
            <w:gridSpan w:val="2"/>
          </w:tcPr>
          <w:p>
            <w:pPr>
              <w:spacing w:line="400" w:lineRule="exact"/>
              <w:rPr>
                <w:rFonts w:hint="eastAsia" w:ascii="仿宋_GB2312" w:hAnsi="仿宋_GB2312" w:eastAsia="仿宋_GB2312" w:cs="仿宋_GB2312"/>
                <w:b/>
                <w:bCs/>
                <w:sz w:val="24"/>
              </w:rPr>
            </w:pPr>
            <w:r>
              <w:rPr>
                <w:rFonts w:hint="eastAsia" w:ascii="仿宋_GB2312" w:hAnsi="仿宋_GB2312" w:eastAsia="仿宋_GB2312" w:cs="仿宋_GB2312"/>
                <w:b/>
                <w:bCs/>
                <w:sz w:val="24"/>
                <w:lang w:eastAsia="zh-CN"/>
              </w:rPr>
              <w:t>推进中。</w:t>
            </w:r>
            <w:r>
              <w:rPr>
                <w:rFonts w:hint="eastAsia" w:ascii="仿宋_GB2312" w:hAnsi="仿宋_GB2312" w:eastAsia="仿宋_GB2312" w:cs="仿宋_GB2312"/>
                <w:b w:val="0"/>
                <w:bCs w:val="0"/>
                <w:sz w:val="24"/>
                <w:highlight w:val="none"/>
                <w:lang w:val="en-US" w:eastAsia="zh-CN"/>
              </w:rPr>
              <w:t>深业上城临时办学空间场地于12月装修验收通过正式入驻，已与福田区委组织部就经济金融人才培养和干部培训相关工作进行了交流并达成共识，将通过定制化培训、举办大讲堂、学习沙龙、联合调研等方式开展培训工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vAlign w:val="center"/>
          </w:tcPr>
          <w:p>
            <w:pPr>
              <w:spacing w:line="400" w:lineRule="exact"/>
              <w:jc w:val="center"/>
              <w:rPr>
                <w:rFonts w:hint="default" w:ascii="仿宋_GB2312" w:hAnsi="仿宋_GB2312" w:eastAsia="仿宋_GB2312" w:cs="仿宋_GB2312"/>
                <w:kern w:val="2"/>
                <w:sz w:val="24"/>
                <w:szCs w:val="24"/>
                <w:lang w:val="en-US" w:eastAsia="zh-CN" w:bidi="ar-SA"/>
              </w:rPr>
            </w:pPr>
            <w:r>
              <w:rPr>
                <w:rFonts w:hint="eastAsia" w:ascii="仿宋_GB2312" w:hAnsi="仿宋_GB2312" w:eastAsia="仿宋_GB2312" w:cs="仿宋_GB2312"/>
                <w:kern w:val="2"/>
                <w:sz w:val="24"/>
                <w:szCs w:val="24"/>
                <w:lang w:val="en-US" w:eastAsia="zh-CN" w:bidi="ar-SA"/>
              </w:rPr>
              <w:t>10</w:t>
            </w:r>
          </w:p>
        </w:tc>
        <w:tc>
          <w:tcPr>
            <w:tcW w:w="2957" w:type="dxa"/>
            <w:vAlign w:val="top"/>
          </w:tcPr>
          <w:p>
            <w:pPr>
              <w:spacing w:line="400" w:lineRule="exact"/>
              <w:rPr>
                <w:rFonts w:hint="eastAsia" w:ascii="仿宋_GB2312" w:hAnsi="仿宋_GB2312" w:eastAsia="仿宋_GB2312" w:cs="仿宋_GB2312"/>
                <w:sz w:val="24"/>
                <w:lang w:eastAsia="zh-CN"/>
              </w:rPr>
            </w:pPr>
            <w:r>
              <w:rPr>
                <w:rFonts w:hint="eastAsia" w:ascii="仿宋_GB2312" w:hAnsi="仿宋_GB2312" w:eastAsia="仿宋_GB2312" w:cs="仿宋_GB2312"/>
                <w:sz w:val="24"/>
                <w:lang w:eastAsia="zh-CN"/>
              </w:rPr>
              <w:t>其他事项。</w:t>
            </w:r>
          </w:p>
        </w:tc>
        <w:tc>
          <w:tcPr>
            <w:tcW w:w="5267" w:type="dxa"/>
            <w:gridSpan w:val="2"/>
          </w:tcPr>
          <w:p>
            <w:pPr>
              <w:spacing w:line="400" w:lineRule="exact"/>
              <w:rPr>
                <w:rFonts w:hint="eastAsia" w:ascii="仿宋_GB2312" w:hAnsi="仿宋_GB2312" w:eastAsia="仿宋_GB2312" w:cs="仿宋_GB2312"/>
                <w:b/>
                <w:bCs/>
                <w:sz w:val="24"/>
                <w:lang w:eastAsia="zh-CN"/>
              </w:rPr>
            </w:pPr>
            <w:r>
              <w:rPr>
                <w:rFonts w:hint="eastAsia" w:ascii="仿宋_GB2312" w:hAnsi="仿宋_GB2312" w:eastAsia="仿宋_GB2312" w:cs="仿宋_GB2312"/>
                <w:b/>
                <w:bCs/>
                <w:sz w:val="24"/>
                <w:lang w:eastAsia="zh-CN"/>
              </w:rPr>
              <w:t>组织开展课题研究多项。</w:t>
            </w:r>
          </w:p>
        </w:tc>
      </w:tr>
    </w:tbl>
    <w:p>
      <w:pPr>
        <w:keepNext w:val="0"/>
        <w:keepLines w:val="0"/>
        <w:pageBreakBefore w:val="0"/>
        <w:widowControl w:val="0"/>
        <w:kinsoku/>
        <w:wordWrap/>
        <w:overflowPunct/>
        <w:topLinePunct w:val="0"/>
        <w:autoSpaceDE/>
        <w:autoSpaceDN/>
        <w:bidi w:val="0"/>
        <w:adjustRightInd/>
        <w:snapToGrid/>
        <w:spacing w:line="579" w:lineRule="exact"/>
        <w:ind w:firstLine="640" w:firstLineChars="200"/>
        <w:textAlignment w:val="auto"/>
        <w:rPr>
          <w:rFonts w:hint="eastAsia" w:ascii="黑体" w:hAnsi="黑体" w:eastAsia="黑体" w:cs="黑体"/>
          <w:sz w:val="32"/>
          <w:szCs w:val="32"/>
          <w:lang w:eastAsia="zh-CN"/>
        </w:rPr>
      </w:pPr>
    </w:p>
    <w:p>
      <w:pPr>
        <w:keepNext w:val="0"/>
        <w:keepLines w:val="0"/>
        <w:pageBreakBefore w:val="0"/>
        <w:widowControl w:val="0"/>
        <w:kinsoku/>
        <w:wordWrap/>
        <w:overflowPunct/>
        <w:topLinePunct w:val="0"/>
        <w:autoSpaceDE/>
        <w:autoSpaceDN/>
        <w:bidi w:val="0"/>
        <w:adjustRightInd/>
        <w:snapToGrid/>
        <w:spacing w:line="579" w:lineRule="exact"/>
        <w:ind w:firstLine="640" w:firstLineChars="200"/>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五、发展亮点及建议</w:t>
      </w:r>
    </w:p>
    <w:p>
      <w:pPr>
        <w:keepNext w:val="0"/>
        <w:keepLines w:val="0"/>
        <w:pageBreakBefore w:val="0"/>
        <w:kinsoku/>
        <w:wordWrap/>
        <w:overflowPunct/>
        <w:topLinePunct w:val="0"/>
        <w:autoSpaceDE/>
        <w:autoSpaceDN/>
        <w:bidi w:val="0"/>
        <w:adjustRightInd/>
        <w:snapToGrid/>
        <w:spacing w:line="540" w:lineRule="exact"/>
        <w:ind w:firstLine="640" w:firstLineChars="200"/>
        <w:jc w:val="left"/>
        <w:textAlignment w:val="auto"/>
        <w:rPr>
          <w:rFonts w:hint="eastAsia" w:ascii="楷体_GB2312" w:hAnsi="楷体_GB2312" w:eastAsia="楷体_GB2312" w:cs="楷体_GB2312"/>
          <w:b w:val="0"/>
          <w:bCs w:val="0"/>
          <w:sz w:val="32"/>
          <w:szCs w:val="32"/>
          <w:highlight w:val="none"/>
          <w:lang w:val="en-US" w:eastAsia="zh-CN"/>
        </w:rPr>
      </w:pPr>
      <w:r>
        <w:rPr>
          <w:rFonts w:hint="eastAsia" w:ascii="楷体_GB2312" w:hAnsi="楷体_GB2312" w:eastAsia="楷体_GB2312" w:cs="楷体_GB2312"/>
          <w:b w:val="0"/>
          <w:bCs w:val="0"/>
          <w:sz w:val="32"/>
          <w:szCs w:val="32"/>
          <w:highlight w:val="none"/>
          <w:lang w:val="en-US" w:eastAsia="zh-CN"/>
        </w:rPr>
        <w:t>（一）发展亮点</w:t>
      </w:r>
    </w:p>
    <w:p>
      <w:pPr>
        <w:keepNext w:val="0"/>
        <w:keepLines w:val="0"/>
        <w:pageBreakBefore w:val="0"/>
        <w:kinsoku/>
        <w:wordWrap/>
        <w:overflowPunct/>
        <w:topLinePunct w:val="0"/>
        <w:autoSpaceDE/>
        <w:autoSpaceDN/>
        <w:bidi w:val="0"/>
        <w:adjustRightInd/>
        <w:snapToGrid/>
        <w:spacing w:line="540" w:lineRule="exact"/>
        <w:ind w:firstLine="642" w:firstLineChars="200"/>
        <w:jc w:val="left"/>
        <w:textAlignment w:val="auto"/>
        <w:rPr>
          <w:rFonts w:hint="eastAsia" w:ascii="仿宋_GB2312" w:hAnsi="仿宋_GB2312" w:eastAsia="仿宋_GB2312" w:cs="仿宋_GB2312"/>
          <w:b/>
          <w:bCs/>
          <w:color w:val="auto"/>
          <w:sz w:val="32"/>
          <w:szCs w:val="32"/>
          <w:lang w:val="en-US" w:eastAsia="zh-CN"/>
        </w:rPr>
      </w:pPr>
      <w:r>
        <w:rPr>
          <w:rFonts w:hint="default" w:ascii="仿宋_GB2312" w:hAnsi="仿宋_GB2312" w:eastAsia="仿宋_GB2312" w:cs="仿宋_GB2312"/>
          <w:b/>
          <w:bCs/>
          <w:color w:val="auto"/>
          <w:sz w:val="32"/>
          <w:szCs w:val="32"/>
          <w:lang w:val="en-US" w:eastAsia="zh-CN"/>
        </w:rPr>
        <w:t>1.</w:t>
      </w:r>
      <w:r>
        <w:rPr>
          <w:rFonts w:hint="eastAsia" w:ascii="仿宋_GB2312" w:hAnsi="仿宋_GB2312" w:eastAsia="仿宋_GB2312" w:cs="仿宋_GB2312"/>
          <w:b/>
          <w:bCs/>
          <w:color w:val="auto"/>
          <w:sz w:val="32"/>
          <w:szCs w:val="32"/>
          <w:lang w:val="en-US" w:eastAsia="zh-CN"/>
        </w:rPr>
        <w:t>不断优化协同机制，赋能政府决策咨询</w:t>
      </w:r>
    </w:p>
    <w:p>
      <w:pPr>
        <w:keepNext w:val="0"/>
        <w:keepLines w:val="0"/>
        <w:pageBreakBefore w:val="0"/>
        <w:kinsoku/>
        <w:wordWrap/>
        <w:overflowPunct/>
        <w:topLinePunct w:val="0"/>
        <w:autoSpaceDE/>
        <w:autoSpaceDN/>
        <w:bidi w:val="0"/>
        <w:adjustRightInd/>
        <w:snapToGrid/>
        <w:spacing w:line="540" w:lineRule="exact"/>
        <w:ind w:firstLine="640" w:firstLineChars="200"/>
        <w:jc w:val="both"/>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研究院逐步加强与福田区委组织部、发展研究中心、统战部、投促局、科工局、企服中心、人工智能产业办、金融服务和风险防控中心等职能部门的沟通协作，为开展政府合作奠定较好基础。以决策咨询为例，这一工作机制的建立促进研究工作的有效开展，研究院能够紧密围绕数字经济、量子科技等前沿热点领域进行精准研究，形成研究视角多元且深入的专报成果。这些高质量咨询报告多篇获中央、省市等各级有关部门采用，为政策制定、战略规划等提供了有力支撑，充分体现了研究院服务国家及区域发展战略的职能定位与实践成效。</w:t>
      </w:r>
    </w:p>
    <w:p>
      <w:pPr>
        <w:keepNext w:val="0"/>
        <w:keepLines w:val="0"/>
        <w:pageBreakBefore w:val="0"/>
        <w:numPr>
          <w:ilvl w:val="0"/>
          <w:numId w:val="0"/>
        </w:numPr>
        <w:kinsoku/>
        <w:wordWrap/>
        <w:overflowPunct/>
        <w:topLinePunct w:val="0"/>
        <w:autoSpaceDE/>
        <w:autoSpaceDN/>
        <w:bidi w:val="0"/>
        <w:adjustRightInd/>
        <w:snapToGrid/>
        <w:spacing w:line="540" w:lineRule="exact"/>
        <w:ind w:firstLine="642" w:firstLineChars="200"/>
        <w:jc w:val="left"/>
        <w:textAlignment w:val="auto"/>
        <w:rPr>
          <w:rFonts w:hint="default" w:ascii="仿宋_GB2312" w:hAnsi="仿宋_GB2312" w:eastAsia="仿宋_GB2312" w:cs="仿宋_GB2312"/>
          <w:b/>
          <w:bCs/>
          <w:color w:val="auto"/>
          <w:sz w:val="32"/>
          <w:szCs w:val="32"/>
          <w:lang w:val="en-US" w:eastAsia="zh-CN"/>
        </w:rPr>
      </w:pPr>
      <w:r>
        <w:rPr>
          <w:rFonts w:hint="eastAsia" w:ascii="仿宋_GB2312" w:hAnsi="仿宋_GB2312" w:eastAsia="仿宋_GB2312" w:cs="仿宋_GB2312"/>
          <w:b/>
          <w:bCs/>
          <w:color w:val="auto"/>
          <w:sz w:val="32"/>
          <w:szCs w:val="32"/>
          <w:lang w:val="en-US" w:eastAsia="zh-CN"/>
        </w:rPr>
        <w:t>2.人才培养成效突出，持续推动教育科技人才一体化发展</w:t>
      </w:r>
    </w:p>
    <w:p>
      <w:pPr>
        <w:keepNext w:val="0"/>
        <w:keepLines w:val="0"/>
        <w:pageBreakBefore w:val="0"/>
        <w:numPr>
          <w:ilvl w:val="0"/>
          <w:numId w:val="0"/>
        </w:numPr>
        <w:kinsoku/>
        <w:wordWrap/>
        <w:overflowPunct/>
        <w:topLinePunct w:val="0"/>
        <w:autoSpaceDE/>
        <w:autoSpaceDN/>
        <w:bidi w:val="0"/>
        <w:adjustRightInd/>
        <w:snapToGrid/>
        <w:spacing w:line="540" w:lineRule="exact"/>
        <w:ind w:firstLine="640" w:firstLineChars="200"/>
        <w:jc w:val="both"/>
        <w:textAlignment w:val="auto"/>
        <w:rPr>
          <w:rFonts w:hint="default" w:ascii="仿宋_GB2312" w:hAnsi="仿宋_GB2312" w:eastAsia="仿宋_GB2312" w:cs="仿宋_GB2312"/>
          <w:b w:val="0"/>
          <w:bCs w:val="0"/>
          <w:color w:val="auto"/>
          <w:sz w:val="32"/>
          <w:szCs w:val="32"/>
          <w:highlight w:val="none"/>
          <w:lang w:val="en-US" w:eastAsia="zh-CN"/>
        </w:rPr>
      </w:pPr>
      <w:r>
        <w:rPr>
          <w:rFonts w:hint="eastAsia" w:ascii="仿宋_GB2312" w:hAnsi="仿宋_GB2312" w:eastAsia="仿宋_GB2312" w:cs="仿宋_GB2312"/>
          <w:b w:val="0"/>
          <w:bCs w:val="0"/>
          <w:color w:val="auto"/>
          <w:sz w:val="32"/>
          <w:szCs w:val="32"/>
          <w:lang w:val="en" w:eastAsia="zh-CN"/>
        </w:rPr>
        <w:t>深圳高等金融研究院</w:t>
      </w:r>
      <w:r>
        <w:rPr>
          <w:rFonts w:hint="eastAsia" w:ascii="仿宋_GB2312" w:hAnsi="仿宋_GB2312" w:eastAsia="仿宋_GB2312" w:cs="仿宋_GB2312"/>
          <w:b w:val="0"/>
          <w:bCs w:val="0"/>
          <w:color w:val="auto"/>
          <w:sz w:val="32"/>
          <w:szCs w:val="32"/>
          <w:lang w:eastAsia="zh-CN"/>
        </w:rPr>
        <w:t>创新拔尖人才培养成效突出，</w:t>
      </w:r>
      <w:r>
        <w:rPr>
          <w:rFonts w:hint="eastAsia" w:ascii="仿宋_GB2312" w:hAnsi="仿宋_GB2312" w:eastAsia="仿宋_GB2312" w:cs="仿宋_GB2312"/>
          <w:b w:val="0"/>
          <w:bCs w:val="0"/>
          <w:color w:val="auto"/>
          <w:sz w:val="32"/>
          <w:szCs w:val="32"/>
          <w:lang w:val="en-US" w:eastAsia="zh-CN"/>
        </w:rPr>
        <w:t>2024年全日制毕业生共计485人，总就业率97.9%，位于国内外知名院校前列，近6成毕业生选择粤港澳大湾区就业。为</w:t>
      </w:r>
      <w:r>
        <w:rPr>
          <w:rFonts w:hint="eastAsia" w:ascii="仿宋_GB2312" w:hAnsi="仿宋_GB2312" w:eastAsia="仿宋_GB2312" w:cs="仿宋_GB2312"/>
          <w:b w:val="0"/>
          <w:bCs w:val="0"/>
          <w:color w:val="auto"/>
          <w:sz w:val="32"/>
          <w:szCs w:val="32"/>
          <w:lang w:val="en" w:eastAsia="zh-CN"/>
        </w:rPr>
        <w:t>持续推动高等教育与福田基础教育的有效链接，我局与</w:t>
      </w:r>
      <w:r>
        <w:rPr>
          <w:rFonts w:hint="eastAsia" w:ascii="仿宋_GB2312" w:hAnsi="仿宋_GB2312" w:eastAsia="仿宋_GB2312" w:cs="仿宋_GB2312"/>
          <w:b w:val="0"/>
          <w:bCs w:val="0"/>
          <w:color w:val="auto"/>
          <w:sz w:val="32"/>
          <w:szCs w:val="32"/>
          <w:lang w:val="en-US" w:eastAsia="zh-CN"/>
        </w:rPr>
        <w:t>4所</w:t>
      </w:r>
      <w:r>
        <w:rPr>
          <w:rFonts w:hint="eastAsia" w:ascii="仿宋_GB2312" w:hAnsi="仿宋_GB2312" w:eastAsia="仿宋_GB2312" w:cs="仿宋_GB2312"/>
          <w:b w:val="0"/>
          <w:bCs w:val="0"/>
          <w:color w:val="auto"/>
          <w:sz w:val="32"/>
          <w:szCs w:val="32"/>
          <w:lang w:val="en" w:eastAsia="zh-CN"/>
        </w:rPr>
        <w:t>研究院就拔尖创新人才培养相关事项深入合作，共建鲲鹏少年院，逐步引入高校优质课程资源及共享实验室平台，</w:t>
      </w:r>
      <w:r>
        <w:rPr>
          <w:rFonts w:hint="eastAsia" w:ascii="仿宋_GB2312" w:hAnsi="仿宋_GB2312" w:eastAsia="仿宋_GB2312" w:cs="仿宋_GB2312"/>
          <w:b w:val="0"/>
          <w:bCs w:val="0"/>
          <w:color w:val="auto"/>
          <w:sz w:val="32"/>
          <w:szCs w:val="32"/>
          <w:lang w:eastAsia="zh-CN"/>
        </w:rPr>
        <w:t>探索贯通式</w:t>
      </w:r>
      <w:r>
        <w:rPr>
          <w:rFonts w:hint="eastAsia" w:ascii="仿宋_GB2312" w:hAnsi="仿宋_GB2312" w:eastAsia="仿宋_GB2312" w:cs="仿宋_GB2312"/>
          <w:b w:val="0"/>
          <w:bCs w:val="0"/>
          <w:color w:val="auto"/>
          <w:sz w:val="32"/>
          <w:szCs w:val="32"/>
          <w:lang w:val="en" w:eastAsia="zh-CN"/>
        </w:rPr>
        <w:t>拔尖创新人才培养通道，探索拓展更多适合</w:t>
      </w:r>
      <w:r>
        <w:rPr>
          <w:rFonts w:hint="eastAsia" w:ascii="仿宋_GB2312" w:hAnsi="仿宋_GB2312" w:eastAsia="仿宋_GB2312" w:cs="仿宋_GB2312"/>
          <w:b w:val="0"/>
          <w:bCs w:val="0"/>
          <w:color w:val="auto"/>
          <w:sz w:val="32"/>
          <w:szCs w:val="32"/>
          <w:lang w:val="en-US" w:eastAsia="zh-CN"/>
        </w:rPr>
        <w:t>中小学生</w:t>
      </w:r>
      <w:r>
        <w:rPr>
          <w:rFonts w:hint="eastAsia" w:ascii="仿宋_GB2312" w:hAnsi="仿宋_GB2312" w:eastAsia="仿宋_GB2312" w:cs="仿宋_GB2312"/>
          <w:b w:val="0"/>
          <w:bCs w:val="0"/>
          <w:color w:val="auto"/>
          <w:sz w:val="32"/>
          <w:szCs w:val="32"/>
          <w:lang w:val="en" w:eastAsia="zh-CN"/>
        </w:rPr>
        <w:t>的活动</w:t>
      </w:r>
      <w:r>
        <w:rPr>
          <w:rFonts w:hint="eastAsia" w:ascii="仿宋_GB2312" w:hAnsi="仿宋_GB2312" w:eastAsia="仿宋_GB2312" w:cs="仿宋_GB2312"/>
          <w:b w:val="0"/>
          <w:bCs w:val="0"/>
          <w:color w:val="auto"/>
          <w:sz w:val="32"/>
          <w:szCs w:val="32"/>
          <w:lang w:val="en-US" w:eastAsia="zh-CN"/>
        </w:rPr>
        <w:t>与课程</w:t>
      </w:r>
      <w:r>
        <w:rPr>
          <w:rFonts w:hint="eastAsia" w:ascii="仿宋_GB2312" w:hAnsi="仿宋_GB2312" w:eastAsia="仿宋_GB2312" w:cs="仿宋_GB2312"/>
          <w:color w:val="auto"/>
          <w:sz w:val="32"/>
          <w:szCs w:val="32"/>
          <w:lang w:val="en" w:eastAsia="zh-CN"/>
        </w:rPr>
        <w:t>。</w:t>
      </w:r>
    </w:p>
    <w:p>
      <w:pPr>
        <w:keepNext w:val="0"/>
        <w:keepLines w:val="0"/>
        <w:pageBreakBefore w:val="0"/>
        <w:kinsoku/>
        <w:wordWrap/>
        <w:overflowPunct/>
        <w:topLinePunct w:val="0"/>
        <w:autoSpaceDE/>
        <w:autoSpaceDN/>
        <w:bidi w:val="0"/>
        <w:adjustRightInd/>
        <w:snapToGrid/>
        <w:spacing w:line="540" w:lineRule="exact"/>
        <w:ind w:firstLine="642" w:firstLineChars="200"/>
        <w:jc w:val="left"/>
        <w:textAlignment w:val="auto"/>
        <w:rPr>
          <w:rFonts w:hint="eastAsia" w:ascii="仿宋_GB2312" w:hAnsi="仿宋_GB2312" w:eastAsia="仿宋_GB2312" w:cs="仿宋_GB2312"/>
          <w:b/>
          <w:bCs/>
          <w:color w:val="auto"/>
          <w:sz w:val="32"/>
          <w:szCs w:val="32"/>
          <w:lang w:val="en-US" w:eastAsia="zh-CN"/>
        </w:rPr>
      </w:pPr>
      <w:r>
        <w:rPr>
          <w:rFonts w:hint="eastAsia" w:ascii="仿宋_GB2312" w:hAnsi="仿宋_GB2312" w:eastAsia="仿宋_GB2312" w:cs="仿宋_GB2312"/>
          <w:b/>
          <w:bCs/>
          <w:color w:val="auto"/>
          <w:sz w:val="32"/>
          <w:szCs w:val="32"/>
          <w:lang w:val="en-US" w:eastAsia="zh-CN"/>
        </w:rPr>
        <w:t>3.融合高校资源创新教学，打造高质量人才培训体系</w:t>
      </w:r>
    </w:p>
    <w:p>
      <w:pPr>
        <w:keepNext w:val="0"/>
        <w:keepLines w:val="0"/>
        <w:pageBreakBefore w:val="0"/>
        <w:numPr>
          <w:ilvl w:val="0"/>
          <w:numId w:val="0"/>
        </w:numPr>
        <w:kinsoku/>
        <w:wordWrap/>
        <w:overflowPunct/>
        <w:topLinePunct w:val="0"/>
        <w:autoSpaceDE/>
        <w:autoSpaceDN/>
        <w:bidi w:val="0"/>
        <w:adjustRightInd/>
        <w:snapToGrid/>
        <w:spacing w:line="540" w:lineRule="exact"/>
        <w:ind w:firstLine="640" w:firstLineChars="200"/>
        <w:jc w:val="both"/>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b w:val="0"/>
          <w:bCs w:val="0"/>
          <w:color w:val="auto"/>
          <w:sz w:val="32"/>
          <w:szCs w:val="32"/>
          <w:highlight w:val="none"/>
          <w:lang w:val="en-US" w:eastAsia="zh-CN"/>
        </w:rPr>
        <w:t>研究院从四个方面构建人才培训体系：一是精准需求对接，深入分析地方政府和企业实际需求，确保培训内容精准切合实际；二是整合优质资源，汇聚清华大学、香港大学等顶尖学术力量与外部专业机构专家，充分发挥高校学术底蕴与教育优势；三是创新教学方法，采用理论讲授与案例分析相结合、专题研讨与沙盘演练互补的多元化教学模式，增强培训吸引力与实效性；四是建立长效机制，通过“专精特新”领军人才培养计划等品牌项目的持续运作，实现培训成果的稳定输出和长期积累，使培训工作形成可持续发展的良性循环，有效支撑区域人才发展战略。</w:t>
      </w:r>
    </w:p>
    <w:p>
      <w:pPr>
        <w:keepNext w:val="0"/>
        <w:keepLines w:val="0"/>
        <w:pageBreakBefore w:val="0"/>
        <w:kinsoku/>
        <w:wordWrap/>
        <w:overflowPunct/>
        <w:topLinePunct w:val="0"/>
        <w:autoSpaceDE/>
        <w:autoSpaceDN/>
        <w:bidi w:val="0"/>
        <w:adjustRightInd/>
        <w:snapToGrid/>
        <w:spacing w:line="540" w:lineRule="exact"/>
        <w:ind w:firstLine="642" w:firstLineChars="200"/>
        <w:jc w:val="left"/>
        <w:textAlignment w:val="auto"/>
        <w:rPr>
          <w:rFonts w:hint="default" w:ascii="仿宋_GB2312" w:hAnsi="仿宋_GB2312" w:eastAsia="仿宋_GB2312" w:cs="仿宋_GB2312"/>
          <w:b/>
          <w:bCs/>
          <w:color w:val="auto"/>
          <w:sz w:val="32"/>
          <w:szCs w:val="32"/>
          <w:lang w:val="en-US" w:eastAsia="zh-CN"/>
        </w:rPr>
      </w:pPr>
      <w:r>
        <w:rPr>
          <w:rFonts w:hint="eastAsia" w:ascii="仿宋_GB2312" w:hAnsi="仿宋_GB2312" w:eastAsia="仿宋_GB2312" w:cs="仿宋_GB2312"/>
          <w:b/>
          <w:bCs/>
          <w:color w:val="auto"/>
          <w:sz w:val="32"/>
          <w:szCs w:val="32"/>
          <w:lang w:val="en-US" w:eastAsia="zh-CN"/>
        </w:rPr>
        <w:t>4.发挥平台作用，吸引企业孵化入驻</w:t>
      </w:r>
    </w:p>
    <w:p>
      <w:pPr>
        <w:keepNext w:val="0"/>
        <w:keepLines w:val="0"/>
        <w:pageBreakBefore w:val="0"/>
        <w:numPr>
          <w:ilvl w:val="0"/>
          <w:numId w:val="0"/>
        </w:numPr>
        <w:kinsoku/>
        <w:wordWrap/>
        <w:overflowPunct/>
        <w:topLinePunct w:val="0"/>
        <w:autoSpaceDE/>
        <w:autoSpaceDN/>
        <w:bidi w:val="0"/>
        <w:adjustRightInd/>
        <w:snapToGrid/>
        <w:spacing w:line="540" w:lineRule="exact"/>
        <w:ind w:firstLine="640" w:firstLineChars="200"/>
        <w:jc w:val="both"/>
        <w:textAlignment w:val="auto"/>
        <w:rPr>
          <w:rFonts w:hint="default" w:ascii="仿宋_GB2312" w:hAnsi="仿宋_GB2312" w:eastAsia="仿宋_GB2312" w:cs="仿宋_GB2312"/>
          <w:b w:val="0"/>
          <w:bCs w:val="0"/>
          <w:color w:val="auto"/>
          <w:sz w:val="32"/>
          <w:szCs w:val="32"/>
          <w:highlight w:val="none"/>
          <w:lang w:val="en-US" w:eastAsia="zh-CN"/>
        </w:rPr>
      </w:pPr>
      <w:r>
        <w:rPr>
          <w:rFonts w:hint="eastAsia" w:ascii="仿宋_GB2312" w:hAnsi="仿宋_GB2312" w:eastAsia="仿宋_GB2312" w:cs="仿宋_GB2312"/>
          <w:b w:val="0"/>
          <w:bCs w:val="0"/>
          <w:color w:val="auto"/>
          <w:sz w:val="32"/>
          <w:szCs w:val="32"/>
          <w:highlight w:val="none"/>
          <w:lang w:val="en-US" w:eastAsia="zh-CN"/>
        </w:rPr>
        <w:t>通过清华x-lab、元创谷孵化基地，共吸纳62家团队/企业入驻深圳福田。其中清华x-lab平台团队融资总额约1亿，2025年团队融资计划约3.5亿，港大元创谷14家科技创新团队中，其中11个项目注册地在福田区，3个港澳青年创业项目。此外，举办的多场创新挑战赛、沙龙、创业分享会等创新创业活动，汇聚众多来自不同领域的团队，并收到政府、高校、金融机构、创投企业等社会各界广泛关注，有望带动企业落地与潜在就业。</w:t>
      </w:r>
    </w:p>
    <w:p>
      <w:pPr>
        <w:keepNext w:val="0"/>
        <w:keepLines w:val="0"/>
        <w:pageBreakBefore w:val="0"/>
        <w:kinsoku/>
        <w:wordWrap/>
        <w:overflowPunct/>
        <w:topLinePunct w:val="0"/>
        <w:autoSpaceDE/>
        <w:autoSpaceDN/>
        <w:bidi w:val="0"/>
        <w:adjustRightInd/>
        <w:snapToGrid/>
        <w:spacing w:line="540" w:lineRule="exact"/>
        <w:ind w:firstLine="640" w:firstLineChars="200"/>
        <w:jc w:val="left"/>
        <w:textAlignment w:val="auto"/>
        <w:rPr>
          <w:rFonts w:ascii="仿宋_GB2312" w:hAnsi="仿宋_GB2312" w:eastAsia="仿宋_GB2312" w:cs="仿宋_GB2312"/>
          <w:color w:val="auto"/>
          <w:sz w:val="32"/>
          <w:szCs w:val="32"/>
        </w:rPr>
      </w:pPr>
      <w:r>
        <w:rPr>
          <w:rFonts w:hint="eastAsia" w:ascii="楷体_GB2312" w:hAnsi="楷体_GB2312" w:eastAsia="楷体_GB2312" w:cs="楷体_GB2312"/>
          <w:b w:val="0"/>
          <w:bCs w:val="0"/>
          <w:color w:val="auto"/>
          <w:sz w:val="32"/>
          <w:szCs w:val="32"/>
          <w:highlight w:val="none"/>
          <w:lang w:val="en-US" w:eastAsia="zh-CN"/>
        </w:rPr>
        <w:t>（二）主要问题</w:t>
      </w:r>
    </w:p>
    <w:p>
      <w:pPr>
        <w:keepNext w:val="0"/>
        <w:keepLines w:val="0"/>
        <w:pageBreakBefore w:val="0"/>
        <w:widowControl w:val="0"/>
        <w:kinsoku/>
        <w:wordWrap/>
        <w:overflowPunct/>
        <w:topLinePunct w:val="0"/>
        <w:autoSpaceDE/>
        <w:autoSpaceDN/>
        <w:bidi w:val="0"/>
        <w:adjustRightInd/>
        <w:snapToGrid/>
        <w:spacing w:line="579" w:lineRule="exact"/>
        <w:ind w:firstLine="640"/>
        <w:textAlignment w:val="auto"/>
        <w:rPr>
          <w:rFonts w:hint="eastAsia" w:ascii="仿宋_GB2312" w:hAnsi="仿宋_GB2312" w:eastAsia="仿宋_GB2312" w:cs="仿宋_GB2312"/>
          <w:b/>
          <w:bCs/>
          <w:color w:val="auto"/>
          <w:sz w:val="32"/>
          <w:szCs w:val="32"/>
          <w:lang w:eastAsia="zh-CN"/>
        </w:rPr>
      </w:pPr>
      <w:r>
        <w:rPr>
          <w:rFonts w:hint="eastAsia" w:ascii="仿宋_GB2312" w:hAnsi="仿宋_GB2312" w:eastAsia="仿宋_GB2312" w:cs="仿宋_GB2312"/>
          <w:b/>
          <w:bCs/>
          <w:color w:val="auto"/>
          <w:sz w:val="32"/>
          <w:szCs w:val="32"/>
          <w:lang w:val="en-US" w:eastAsia="zh-CN"/>
        </w:rPr>
        <w:t>1.</w:t>
      </w:r>
      <w:r>
        <w:rPr>
          <w:rFonts w:hint="eastAsia" w:ascii="仿宋_GB2312" w:hAnsi="仿宋_GB2312" w:eastAsia="仿宋_GB2312" w:cs="仿宋_GB2312"/>
          <w:b/>
          <w:bCs/>
          <w:color w:val="auto"/>
          <w:sz w:val="32"/>
          <w:szCs w:val="32"/>
          <w:lang w:eastAsia="zh-CN"/>
        </w:rPr>
        <w:t>经费来源单一，财政拨款依赖度较高</w:t>
      </w:r>
    </w:p>
    <w:p>
      <w:pPr>
        <w:keepNext w:val="0"/>
        <w:keepLines w:val="0"/>
        <w:pageBreakBefore w:val="0"/>
        <w:widowControl w:val="0"/>
        <w:kinsoku/>
        <w:wordWrap/>
        <w:overflowPunct/>
        <w:topLinePunct w:val="0"/>
        <w:autoSpaceDE/>
        <w:autoSpaceDN/>
        <w:bidi w:val="0"/>
        <w:adjustRightInd/>
        <w:snapToGrid/>
        <w:spacing w:line="579" w:lineRule="exact"/>
        <w:ind w:firstLine="64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4所</w:t>
      </w:r>
      <w:r>
        <w:rPr>
          <w:rFonts w:hint="eastAsia" w:ascii="仿宋_GB2312" w:hAnsi="仿宋_GB2312" w:eastAsia="仿宋_GB2312" w:cs="仿宋_GB2312"/>
          <w:color w:val="auto"/>
          <w:sz w:val="32"/>
          <w:szCs w:val="32"/>
          <w:lang w:eastAsia="zh-CN"/>
        </w:rPr>
        <w:t>研究院已通过社会捐赠、课程培训、科研事业收入等渠道获得一定资金，但目前财政资金占比仍然较高，其中清华项目超过</w:t>
      </w:r>
      <w:r>
        <w:rPr>
          <w:rFonts w:hint="eastAsia" w:ascii="仿宋_GB2312" w:hAnsi="仿宋_GB2312" w:eastAsia="仿宋_GB2312" w:cs="仿宋_GB2312"/>
          <w:color w:val="auto"/>
          <w:sz w:val="32"/>
          <w:szCs w:val="32"/>
          <w:lang w:val="en-US" w:eastAsia="zh-CN"/>
        </w:rPr>
        <w:t>85%。社会捐赠及科研成果转化等筹资渠道尚未形成规模效应，单一的经费来源模式不利于其长期稳定发展；港大经管（深圳）科研经费仍高度依赖福田区单一主体资助，自主造血和多元化收入渠道不足，机构自我发展能力和抗风险能力较弱，全职研究团队规模不断缩小，人才流失形势严峻。若这一趋势持续，或将对项目的可持续发展产生较大影响。</w:t>
      </w:r>
    </w:p>
    <w:p>
      <w:pPr>
        <w:keepNext w:val="0"/>
        <w:keepLines w:val="0"/>
        <w:pageBreakBefore w:val="0"/>
        <w:widowControl w:val="0"/>
        <w:kinsoku/>
        <w:wordWrap/>
        <w:overflowPunct/>
        <w:topLinePunct w:val="0"/>
        <w:autoSpaceDE/>
        <w:autoSpaceDN/>
        <w:bidi w:val="0"/>
        <w:adjustRightInd/>
        <w:snapToGrid/>
        <w:spacing w:line="579" w:lineRule="exact"/>
        <w:ind w:firstLine="640"/>
        <w:textAlignment w:val="auto"/>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b/>
          <w:bCs/>
          <w:color w:val="auto"/>
          <w:sz w:val="32"/>
          <w:szCs w:val="32"/>
          <w:lang w:eastAsia="zh-CN"/>
        </w:rPr>
        <w:t>建议：</w:t>
      </w:r>
      <w:r>
        <w:rPr>
          <w:rFonts w:hint="eastAsia" w:ascii="仿宋_GB2312" w:hAnsi="仿宋_GB2312" w:eastAsia="仿宋_GB2312" w:cs="仿宋_GB2312"/>
          <w:b/>
          <w:bCs/>
          <w:color w:val="auto"/>
          <w:sz w:val="32"/>
          <w:szCs w:val="32"/>
          <w:highlight w:val="none"/>
          <w:lang w:val="en-US" w:eastAsia="zh-CN"/>
        </w:rPr>
        <w:t>一方面，</w:t>
      </w:r>
      <w:r>
        <w:rPr>
          <w:rFonts w:hint="eastAsia" w:ascii="仿宋_GB2312" w:hAnsi="仿宋_GB2312" w:eastAsia="仿宋_GB2312" w:cs="仿宋_GB2312"/>
          <w:b w:val="0"/>
          <w:bCs w:val="0"/>
          <w:color w:val="auto"/>
          <w:sz w:val="32"/>
          <w:szCs w:val="32"/>
          <w:highlight w:val="none"/>
          <w:lang w:val="en-US" w:eastAsia="zh-CN"/>
        </w:rPr>
        <w:t>研究院应构建多层次资源拓展战略，通过搭建产学研合作平台等方式，精准对接基金会、行业龙头企业及优质民间资本，发挥清华、港大研究资源和品牌优势，多措并举增强自我造血功能，多元化收入结构，将研究院的学术优势和发展潜力转化为资源吸引力，避免过于依赖单一政府资助；</w:t>
      </w:r>
      <w:r>
        <w:rPr>
          <w:rFonts w:hint="eastAsia" w:ascii="仿宋_GB2312" w:hAnsi="仿宋_GB2312" w:eastAsia="仿宋_GB2312" w:cs="仿宋_GB2312"/>
          <w:b/>
          <w:bCs/>
          <w:color w:val="auto"/>
          <w:sz w:val="32"/>
          <w:szCs w:val="32"/>
          <w:highlight w:val="none"/>
          <w:lang w:val="en-US" w:eastAsia="zh-CN"/>
        </w:rPr>
        <w:t>另一方面，</w:t>
      </w:r>
      <w:r>
        <w:rPr>
          <w:rFonts w:hint="eastAsia" w:ascii="仿宋_GB2312" w:hAnsi="仿宋_GB2312" w:eastAsia="仿宋_GB2312" w:cs="仿宋_GB2312"/>
          <w:b w:val="0"/>
          <w:bCs w:val="0"/>
          <w:color w:val="auto"/>
          <w:sz w:val="32"/>
          <w:szCs w:val="32"/>
          <w:highlight w:val="none"/>
          <w:lang w:val="en-US" w:eastAsia="zh-CN"/>
        </w:rPr>
        <w:t>研究院应系统强化科研团队能力建设，聚焦区域经济社会发展痛点难点，培育前沿性、实用性科研项目，建立科研成果转化闭环机制，通过技术转让、知识产权运营、高端咨询服务等多元路径，逐步实现向“多元造血”的经费结构转变。</w:t>
      </w:r>
    </w:p>
    <w:p>
      <w:pPr>
        <w:keepNext w:val="0"/>
        <w:keepLines w:val="0"/>
        <w:pageBreakBefore w:val="0"/>
        <w:widowControl w:val="0"/>
        <w:kinsoku/>
        <w:wordWrap/>
        <w:overflowPunct/>
        <w:topLinePunct w:val="0"/>
        <w:autoSpaceDE/>
        <w:autoSpaceDN/>
        <w:bidi w:val="0"/>
        <w:adjustRightInd/>
        <w:snapToGrid/>
        <w:spacing w:line="579" w:lineRule="exact"/>
        <w:ind w:firstLine="640"/>
        <w:textAlignment w:val="auto"/>
        <w:rPr>
          <w:rFonts w:hint="eastAsia" w:ascii="仿宋_GB2312" w:hAnsi="仿宋_GB2312" w:eastAsia="仿宋_GB2312" w:cs="仿宋_GB2312"/>
          <w:b/>
          <w:bCs/>
          <w:color w:val="auto"/>
          <w:sz w:val="32"/>
          <w:szCs w:val="32"/>
          <w:lang w:val="en-US" w:eastAsia="zh-CN"/>
        </w:rPr>
      </w:pPr>
      <w:r>
        <w:rPr>
          <w:rFonts w:hint="eastAsia" w:ascii="仿宋_GB2312" w:hAnsi="仿宋_GB2312" w:eastAsia="仿宋_GB2312" w:cs="仿宋_GB2312"/>
          <w:b/>
          <w:bCs/>
          <w:color w:val="auto"/>
          <w:sz w:val="32"/>
          <w:szCs w:val="32"/>
          <w:lang w:val="en-US" w:eastAsia="zh-CN"/>
        </w:rPr>
        <w:t>2.高端培训、决策咨询报告沟通机制可进一步优化</w:t>
      </w:r>
    </w:p>
    <w:p>
      <w:pPr>
        <w:keepNext w:val="0"/>
        <w:keepLines w:val="0"/>
        <w:pageBreakBefore w:val="0"/>
        <w:widowControl w:val="0"/>
        <w:kinsoku/>
        <w:wordWrap/>
        <w:overflowPunct/>
        <w:topLinePunct w:val="0"/>
        <w:autoSpaceDE/>
        <w:autoSpaceDN/>
        <w:bidi w:val="0"/>
        <w:adjustRightInd/>
        <w:snapToGrid/>
        <w:spacing w:line="579" w:lineRule="exact"/>
        <w:ind w:firstLine="64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eastAsia="zh-CN"/>
        </w:rPr>
        <w:t>经过近两年多的发展，</w:t>
      </w:r>
      <w:r>
        <w:rPr>
          <w:rFonts w:hint="eastAsia" w:ascii="仿宋_GB2312" w:hAnsi="仿宋_GB2312" w:eastAsia="仿宋_GB2312" w:cs="仿宋_GB2312"/>
          <w:color w:val="auto"/>
          <w:sz w:val="32"/>
          <w:szCs w:val="32"/>
          <w:lang w:val="en-US" w:eastAsia="zh-CN"/>
        </w:rPr>
        <w:t>4</w:t>
      </w:r>
      <w:r>
        <w:rPr>
          <w:rFonts w:hint="eastAsia" w:ascii="仿宋_GB2312" w:hAnsi="仿宋_GB2312" w:eastAsia="仿宋_GB2312" w:cs="仿宋_GB2312"/>
          <w:color w:val="auto"/>
          <w:sz w:val="32"/>
          <w:szCs w:val="32"/>
          <w:lang w:eastAsia="zh-CN"/>
        </w:rPr>
        <w:t>所研究院已逐步加强与</w:t>
      </w:r>
      <w:r>
        <w:rPr>
          <w:rFonts w:hint="eastAsia" w:ascii="仿宋_GB2312" w:hAnsi="仿宋_GB2312" w:eastAsia="仿宋_GB2312" w:cs="仿宋_GB2312"/>
          <w:color w:val="auto"/>
          <w:sz w:val="32"/>
          <w:szCs w:val="32"/>
          <w:lang w:val="en-US" w:eastAsia="zh-CN"/>
        </w:rPr>
        <w:t>区内各职能部门的沟通联系。然而个别研究院尚未形成“需求收集-研究-反馈-调整”的完整政策咨询闭环，部分决策咨询报告主要基于自身研究方向自行发起，与我区实际决策需求存在错位，报告实用性有待提升，常态化反馈渠道有待畅通，政策建议难以获得及时评估与落地跟踪，导致智库资源未能发挥最大效能。</w:t>
      </w:r>
    </w:p>
    <w:p>
      <w:pPr>
        <w:keepNext w:val="0"/>
        <w:keepLines w:val="0"/>
        <w:pageBreakBefore w:val="0"/>
        <w:widowControl w:val="0"/>
        <w:kinsoku/>
        <w:wordWrap/>
        <w:overflowPunct/>
        <w:topLinePunct w:val="0"/>
        <w:autoSpaceDE/>
        <w:autoSpaceDN/>
        <w:bidi w:val="0"/>
        <w:adjustRightInd/>
        <w:snapToGrid/>
        <w:spacing w:line="579" w:lineRule="exact"/>
        <w:ind w:firstLine="640"/>
        <w:textAlignment w:val="auto"/>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b/>
          <w:bCs/>
          <w:color w:val="auto"/>
          <w:sz w:val="32"/>
          <w:szCs w:val="32"/>
          <w:lang w:val="en-US" w:eastAsia="zh-CN"/>
        </w:rPr>
        <w:t>建议：</w:t>
      </w:r>
      <w:r>
        <w:rPr>
          <w:rFonts w:hint="eastAsia" w:ascii="仿宋_GB2312" w:hAnsi="仿宋_GB2312" w:eastAsia="仿宋_GB2312" w:cs="仿宋_GB2312"/>
          <w:b/>
          <w:bCs/>
          <w:color w:val="auto"/>
          <w:sz w:val="32"/>
          <w:szCs w:val="32"/>
          <w:lang w:val="en-US" w:eastAsia="zh-CN"/>
        </w:rPr>
        <w:t>一是</w:t>
      </w:r>
      <w:r>
        <w:rPr>
          <w:rFonts w:hint="eastAsia" w:ascii="仿宋_GB2312" w:hAnsi="仿宋_GB2312" w:eastAsia="仿宋_GB2312" w:cs="仿宋_GB2312"/>
          <w:color w:val="auto"/>
          <w:sz w:val="32"/>
          <w:szCs w:val="32"/>
          <w:lang w:val="en-US" w:eastAsia="zh-CN"/>
        </w:rPr>
        <w:t>构建“需求导向型”咨询机制，区相关职能部门与研究院建立定期需求对接，与4所研究院形成常态化沟通渠道，通过定期沟通会、重点领域专题研讨等形式，让研究院更精确地把握政府决策痛点，提升咨询报告的针对性和实操性；</w:t>
      </w:r>
      <w:r>
        <w:rPr>
          <w:rFonts w:hint="eastAsia" w:ascii="仿宋_GB2312" w:hAnsi="仿宋_GB2312" w:eastAsia="仿宋_GB2312" w:cs="仿宋_GB2312"/>
          <w:b/>
          <w:bCs/>
          <w:color w:val="auto"/>
          <w:sz w:val="32"/>
          <w:szCs w:val="32"/>
          <w:lang w:val="en-US" w:eastAsia="zh-CN"/>
        </w:rPr>
        <w:t>二是</w:t>
      </w:r>
      <w:r>
        <w:rPr>
          <w:rFonts w:hint="eastAsia" w:ascii="仿宋_GB2312" w:hAnsi="仿宋_GB2312" w:eastAsia="仿宋_GB2312" w:cs="仿宋_GB2312"/>
          <w:color w:val="auto"/>
          <w:sz w:val="32"/>
          <w:szCs w:val="32"/>
          <w:lang w:val="en-US" w:eastAsia="zh-CN"/>
        </w:rPr>
        <w:t>探索与研究院建立课题研究合作</w:t>
      </w:r>
      <w:bookmarkStart w:id="0" w:name="_GoBack"/>
      <w:bookmarkEnd w:id="0"/>
      <w:r>
        <w:rPr>
          <w:rFonts w:hint="eastAsia" w:ascii="仿宋_GB2312" w:hAnsi="仿宋_GB2312" w:eastAsia="仿宋_GB2312" w:cs="仿宋_GB2312"/>
          <w:color w:val="auto"/>
          <w:sz w:val="32"/>
          <w:szCs w:val="32"/>
          <w:lang w:val="en-US" w:eastAsia="zh-CN"/>
        </w:rPr>
        <w:t>模式，针对区社会经济发展重大战略问题、亟需突破的关键技术等，区职能部门可委托有专长的研究院进行研究，明确研究目标、时限和成果要求，使研究成果真正服务于区域发展需求，实现智库资源价值最大化。</w:t>
      </w:r>
    </w:p>
    <w:p>
      <w:pPr>
        <w:keepNext w:val="0"/>
        <w:keepLines w:val="0"/>
        <w:pageBreakBefore w:val="0"/>
        <w:widowControl w:val="0"/>
        <w:kinsoku/>
        <w:wordWrap/>
        <w:overflowPunct/>
        <w:topLinePunct w:val="0"/>
        <w:autoSpaceDE/>
        <w:autoSpaceDN/>
        <w:bidi w:val="0"/>
        <w:adjustRightInd/>
        <w:snapToGrid/>
        <w:spacing w:line="579" w:lineRule="exact"/>
        <w:ind w:firstLine="640"/>
        <w:textAlignment w:val="auto"/>
        <w:rPr>
          <w:rFonts w:hint="eastAsia" w:ascii="仿宋_GB2312" w:hAnsi="仿宋_GB2312" w:eastAsia="仿宋_GB2312" w:cs="仿宋_GB2312"/>
          <w:color w:val="0070C0"/>
          <w:sz w:val="32"/>
          <w:szCs w:val="32"/>
          <w:lang w:eastAsia="zh-CN"/>
        </w:rPr>
      </w:pPr>
    </w:p>
    <w:p>
      <w:pPr>
        <w:keepNext w:val="0"/>
        <w:keepLines w:val="0"/>
        <w:pageBreakBefore w:val="0"/>
        <w:widowControl w:val="0"/>
        <w:kinsoku/>
        <w:wordWrap/>
        <w:overflowPunct/>
        <w:topLinePunct w:val="0"/>
        <w:autoSpaceDE/>
        <w:autoSpaceDN/>
        <w:bidi w:val="0"/>
        <w:adjustRightInd/>
        <w:snapToGrid/>
        <w:spacing w:line="579" w:lineRule="exact"/>
        <w:ind w:firstLine="640"/>
        <w:textAlignment w:val="auto"/>
        <w:rPr>
          <w:rFonts w:hint="eastAsia" w:ascii="仿宋_GB2312" w:hAnsi="仿宋_GB2312" w:eastAsia="仿宋_GB2312" w:cs="仿宋_GB2312"/>
          <w:sz w:val="32"/>
          <w:szCs w:val="32"/>
          <w:lang w:eastAsia="zh-CN"/>
        </w:rPr>
      </w:pPr>
    </w:p>
    <w:p>
      <w:pPr>
        <w:keepNext w:val="0"/>
        <w:keepLines w:val="0"/>
        <w:pageBreakBefore w:val="0"/>
        <w:widowControl w:val="0"/>
        <w:kinsoku/>
        <w:wordWrap/>
        <w:overflowPunct/>
        <w:topLinePunct w:val="0"/>
        <w:autoSpaceDE/>
        <w:autoSpaceDN/>
        <w:bidi w:val="0"/>
        <w:adjustRightInd/>
        <w:snapToGrid/>
        <w:spacing w:line="579" w:lineRule="exact"/>
        <w:ind w:firstLine="614" w:firstLineChars="200"/>
        <w:jc w:val="both"/>
        <w:textAlignment w:val="auto"/>
        <w:rPr>
          <w:rFonts w:hint="default" w:ascii="仿宋_GB2312" w:hAnsi="仿宋_GB2312" w:eastAsia="仿宋_GB2312" w:cs="仿宋_GB2312"/>
          <w:w w:val="96"/>
          <w:sz w:val="32"/>
          <w:szCs w:val="32"/>
          <w:lang w:val="en-US" w:eastAsia="zh-CN"/>
        </w:rPr>
      </w:pPr>
      <w:r>
        <w:rPr>
          <w:rFonts w:hint="eastAsia" w:ascii="仿宋_GB2312" w:hAnsi="仿宋_GB2312" w:eastAsia="仿宋_GB2312" w:cs="仿宋_GB2312"/>
          <w:w w:val="96"/>
          <w:sz w:val="32"/>
          <w:szCs w:val="32"/>
        </w:rPr>
        <w:t>附件：1.清华大学经济管理深圳研究院20</w:t>
      </w:r>
      <w:r>
        <w:rPr>
          <w:rFonts w:hint="default" w:ascii="仿宋_GB2312" w:hAnsi="仿宋_GB2312" w:eastAsia="仿宋_GB2312" w:cs="仿宋_GB2312"/>
          <w:w w:val="96"/>
          <w:sz w:val="32"/>
          <w:szCs w:val="32"/>
          <w:lang w:val="en-US"/>
        </w:rPr>
        <w:t>4</w:t>
      </w:r>
      <w:r>
        <w:rPr>
          <w:rFonts w:hint="eastAsia" w:ascii="仿宋_GB2312" w:hAnsi="仿宋_GB2312" w:eastAsia="仿宋_GB2312" w:cs="仿宋_GB2312"/>
          <w:w w:val="96"/>
          <w:sz w:val="32"/>
          <w:szCs w:val="32"/>
        </w:rPr>
        <w:t>年度工作总结</w:t>
      </w:r>
    </w:p>
    <w:p>
      <w:pPr>
        <w:keepNext w:val="0"/>
        <w:keepLines w:val="0"/>
        <w:pageBreakBefore w:val="0"/>
        <w:widowControl w:val="0"/>
        <w:kinsoku/>
        <w:wordWrap/>
        <w:overflowPunct/>
        <w:topLinePunct w:val="0"/>
        <w:autoSpaceDE/>
        <w:autoSpaceDN/>
        <w:bidi w:val="0"/>
        <w:adjustRightInd/>
        <w:snapToGrid/>
        <w:spacing w:line="579" w:lineRule="exact"/>
        <w:ind w:firstLine="1535" w:firstLineChars="500"/>
        <w:jc w:val="both"/>
        <w:textAlignment w:val="auto"/>
        <w:rPr>
          <w:rFonts w:ascii="仿宋_GB2312" w:hAnsi="仿宋_GB2312" w:eastAsia="仿宋_GB2312" w:cs="仿宋_GB2312"/>
          <w:w w:val="96"/>
          <w:sz w:val="32"/>
          <w:szCs w:val="32"/>
        </w:rPr>
      </w:pPr>
      <w:r>
        <w:rPr>
          <w:rFonts w:hint="eastAsia" w:ascii="仿宋_GB2312" w:hAnsi="仿宋_GB2312" w:eastAsia="仿宋_GB2312" w:cs="仿宋_GB2312"/>
          <w:w w:val="96"/>
          <w:sz w:val="32"/>
          <w:szCs w:val="32"/>
        </w:rPr>
        <w:t>2.深圳高等金融研究院202</w:t>
      </w:r>
      <w:r>
        <w:rPr>
          <w:rFonts w:hint="default" w:ascii="仿宋_GB2312" w:hAnsi="仿宋_GB2312" w:eastAsia="仿宋_GB2312" w:cs="仿宋_GB2312"/>
          <w:w w:val="96"/>
          <w:sz w:val="32"/>
          <w:szCs w:val="32"/>
          <w:lang w:val="en-US" w:eastAsia="zh-CN"/>
        </w:rPr>
        <w:t>4</w:t>
      </w:r>
      <w:r>
        <w:rPr>
          <w:rFonts w:hint="eastAsia" w:ascii="仿宋_GB2312" w:hAnsi="仿宋_GB2312" w:eastAsia="仿宋_GB2312" w:cs="仿宋_GB2312"/>
          <w:w w:val="96"/>
          <w:sz w:val="32"/>
          <w:szCs w:val="32"/>
        </w:rPr>
        <w:t>年工作总结</w:t>
      </w:r>
    </w:p>
    <w:p>
      <w:pPr>
        <w:keepNext w:val="0"/>
        <w:keepLines w:val="0"/>
        <w:pageBreakBefore w:val="0"/>
        <w:widowControl w:val="0"/>
        <w:kinsoku/>
        <w:wordWrap/>
        <w:overflowPunct/>
        <w:topLinePunct w:val="0"/>
        <w:autoSpaceDE/>
        <w:autoSpaceDN/>
        <w:bidi w:val="0"/>
        <w:adjustRightInd/>
        <w:snapToGrid/>
        <w:spacing w:line="579" w:lineRule="exact"/>
        <w:ind w:left="319" w:leftChars="152" w:firstLine="1216" w:firstLineChars="400"/>
        <w:jc w:val="both"/>
        <w:textAlignment w:val="auto"/>
        <w:rPr>
          <w:rFonts w:hint="eastAsia" w:ascii="仿宋_GB2312" w:hAnsi="仿宋_GB2312" w:eastAsia="仿宋_GB2312" w:cs="仿宋_GB2312"/>
          <w:w w:val="95"/>
          <w:sz w:val="32"/>
          <w:szCs w:val="32"/>
          <w:lang w:val="en-US" w:eastAsia="zh-CN"/>
        </w:rPr>
      </w:pPr>
      <w:r>
        <w:rPr>
          <w:rFonts w:hint="eastAsia" w:ascii="仿宋_GB2312" w:hAnsi="仿宋_GB2312" w:eastAsia="仿宋_GB2312" w:cs="仿宋_GB2312"/>
          <w:w w:val="95"/>
          <w:sz w:val="32"/>
          <w:szCs w:val="32"/>
        </w:rPr>
        <w:t>3.香港大学</w:t>
      </w:r>
      <w:r>
        <w:rPr>
          <w:rFonts w:hint="eastAsia" w:ascii="仿宋_GB2312" w:hAnsi="仿宋_GB2312" w:eastAsia="仿宋_GB2312" w:cs="仿宋_GB2312"/>
          <w:w w:val="95"/>
          <w:sz w:val="32"/>
          <w:szCs w:val="32"/>
          <w:lang w:eastAsia="zh-CN"/>
        </w:rPr>
        <w:t>经济及工商管理学院深圳校区</w:t>
      </w:r>
      <w:r>
        <w:rPr>
          <w:rFonts w:hint="eastAsia" w:ascii="仿宋_GB2312" w:hAnsi="仿宋_GB2312" w:eastAsia="仿宋_GB2312" w:cs="仿宋_GB2312"/>
          <w:w w:val="95"/>
          <w:sz w:val="32"/>
          <w:szCs w:val="32"/>
          <w:lang w:val="en-US" w:eastAsia="zh-CN"/>
        </w:rPr>
        <w:t>202</w:t>
      </w:r>
      <w:r>
        <w:rPr>
          <w:rFonts w:hint="default" w:ascii="仿宋_GB2312" w:hAnsi="仿宋_GB2312" w:eastAsia="仿宋_GB2312" w:cs="仿宋_GB2312"/>
          <w:w w:val="95"/>
          <w:sz w:val="32"/>
          <w:szCs w:val="32"/>
          <w:lang w:val="en-US" w:eastAsia="zh-CN"/>
        </w:rPr>
        <w:t>4</w:t>
      </w:r>
      <w:r>
        <w:rPr>
          <w:rFonts w:hint="eastAsia" w:ascii="仿宋_GB2312" w:hAnsi="仿宋_GB2312" w:eastAsia="仿宋_GB2312" w:cs="仿宋_GB2312"/>
          <w:w w:val="95"/>
          <w:sz w:val="32"/>
          <w:szCs w:val="32"/>
          <w:lang w:val="en-US" w:eastAsia="zh-CN"/>
        </w:rPr>
        <w:t>年度</w:t>
      </w:r>
    </w:p>
    <w:p>
      <w:pPr>
        <w:keepNext w:val="0"/>
        <w:keepLines w:val="0"/>
        <w:pageBreakBefore w:val="0"/>
        <w:widowControl w:val="0"/>
        <w:kinsoku/>
        <w:wordWrap/>
        <w:overflowPunct/>
        <w:topLinePunct w:val="0"/>
        <w:autoSpaceDE/>
        <w:autoSpaceDN/>
        <w:bidi w:val="0"/>
        <w:adjustRightInd/>
        <w:snapToGrid/>
        <w:spacing w:line="579" w:lineRule="exact"/>
        <w:ind w:left="319" w:leftChars="152" w:firstLine="1520" w:firstLineChars="500"/>
        <w:jc w:val="both"/>
        <w:textAlignment w:val="auto"/>
        <w:rPr>
          <w:rFonts w:hint="default" w:ascii="仿宋_GB2312" w:hAnsi="仿宋_GB2312" w:eastAsia="仿宋_GB2312" w:cs="仿宋_GB2312"/>
          <w:w w:val="95"/>
          <w:sz w:val="32"/>
          <w:szCs w:val="32"/>
          <w:lang w:val="en-US" w:eastAsia="zh-CN"/>
        </w:rPr>
      </w:pPr>
      <w:r>
        <w:rPr>
          <w:rFonts w:hint="eastAsia" w:ascii="仿宋_GB2312" w:hAnsi="仿宋_GB2312" w:eastAsia="仿宋_GB2312" w:cs="仿宋_GB2312"/>
          <w:w w:val="95"/>
          <w:sz w:val="32"/>
          <w:szCs w:val="32"/>
          <w:lang w:val="en-US" w:eastAsia="zh-CN"/>
        </w:rPr>
        <w:t>工作报告</w:t>
      </w:r>
    </w:p>
    <w:p>
      <w:pPr>
        <w:keepNext w:val="0"/>
        <w:keepLines w:val="0"/>
        <w:pageBreakBefore w:val="0"/>
        <w:widowControl w:val="0"/>
        <w:kinsoku/>
        <w:wordWrap/>
        <w:overflowPunct/>
        <w:topLinePunct w:val="0"/>
        <w:autoSpaceDE/>
        <w:autoSpaceDN/>
        <w:bidi w:val="0"/>
        <w:adjustRightInd/>
        <w:snapToGrid/>
        <w:spacing w:line="579" w:lineRule="exact"/>
        <w:ind w:firstLine="1520" w:firstLineChars="500"/>
        <w:jc w:val="both"/>
        <w:textAlignment w:val="auto"/>
        <w:rPr>
          <w:rFonts w:hint="default" w:ascii="仿宋_GB2312" w:hAnsi="仿宋_GB2312" w:eastAsia="仿宋_GB2312" w:cs="仿宋_GB2312"/>
          <w:w w:val="95"/>
          <w:sz w:val="32"/>
          <w:szCs w:val="32"/>
          <w:lang w:val="en-US" w:eastAsia="zh-CN"/>
        </w:rPr>
      </w:pPr>
      <w:r>
        <w:rPr>
          <w:rFonts w:hint="eastAsia" w:ascii="仿宋_GB2312" w:hAnsi="仿宋_GB2312" w:eastAsia="仿宋_GB2312" w:cs="仿宋_GB2312"/>
          <w:w w:val="95"/>
          <w:sz w:val="32"/>
          <w:szCs w:val="32"/>
          <w:lang w:val="en-US" w:eastAsia="zh-CN"/>
        </w:rPr>
        <w:t>4.深圳香蜜湖国际金融科技研究院202</w:t>
      </w:r>
      <w:r>
        <w:rPr>
          <w:rFonts w:hint="default" w:ascii="仿宋_GB2312" w:hAnsi="仿宋_GB2312" w:eastAsia="仿宋_GB2312" w:cs="仿宋_GB2312"/>
          <w:w w:val="95"/>
          <w:sz w:val="32"/>
          <w:szCs w:val="32"/>
          <w:lang w:val="en-US" w:eastAsia="zh-CN"/>
        </w:rPr>
        <w:t>4</w:t>
      </w:r>
      <w:r>
        <w:rPr>
          <w:rFonts w:hint="eastAsia" w:ascii="仿宋_GB2312" w:hAnsi="仿宋_GB2312" w:eastAsia="仿宋_GB2312" w:cs="仿宋_GB2312"/>
          <w:w w:val="95"/>
          <w:sz w:val="32"/>
          <w:szCs w:val="32"/>
          <w:lang w:val="en-US" w:eastAsia="zh-CN"/>
        </w:rPr>
        <w:t>年工作总结</w:t>
      </w:r>
    </w:p>
    <w:p>
      <w:pPr>
        <w:keepNext w:val="0"/>
        <w:keepLines w:val="0"/>
        <w:pageBreakBefore w:val="0"/>
        <w:widowControl w:val="0"/>
        <w:kinsoku/>
        <w:wordWrap/>
        <w:overflowPunct/>
        <w:topLinePunct w:val="0"/>
        <w:autoSpaceDE/>
        <w:autoSpaceDN/>
        <w:bidi w:val="0"/>
        <w:adjustRightInd/>
        <w:snapToGrid/>
        <w:spacing w:line="579" w:lineRule="exact"/>
        <w:ind w:firstLine="1535" w:firstLineChars="500"/>
        <w:jc w:val="both"/>
        <w:textAlignment w:val="auto"/>
        <w:rPr>
          <w:rFonts w:hint="eastAsia" w:ascii="仿宋_GB2312" w:hAnsi="仿宋_GB2312" w:eastAsia="仿宋_GB2312" w:cs="仿宋_GB2312"/>
          <w:w w:val="96"/>
          <w:sz w:val="32"/>
          <w:szCs w:val="32"/>
          <w:lang w:val="en-US" w:eastAsia="zh-CN"/>
        </w:rPr>
      </w:pPr>
      <w:r>
        <w:rPr>
          <w:rFonts w:hint="eastAsia" w:ascii="仿宋_GB2312" w:hAnsi="仿宋_GB2312" w:eastAsia="仿宋_GB2312" w:cs="仿宋_GB2312"/>
          <w:w w:val="96"/>
          <w:sz w:val="32"/>
          <w:szCs w:val="32"/>
          <w:lang w:val="en-US" w:eastAsia="zh-CN"/>
        </w:rPr>
        <w:t>5.清华大学经济管理深圳研究院2021-2024年工作</w:t>
      </w:r>
    </w:p>
    <w:p>
      <w:pPr>
        <w:keepNext w:val="0"/>
        <w:keepLines w:val="0"/>
        <w:pageBreakBefore w:val="0"/>
        <w:widowControl w:val="0"/>
        <w:kinsoku/>
        <w:wordWrap/>
        <w:overflowPunct/>
        <w:topLinePunct w:val="0"/>
        <w:autoSpaceDE/>
        <w:autoSpaceDN/>
        <w:bidi w:val="0"/>
        <w:adjustRightInd/>
        <w:snapToGrid/>
        <w:spacing w:line="579" w:lineRule="exact"/>
        <w:ind w:firstLine="1854" w:firstLineChars="604"/>
        <w:jc w:val="both"/>
        <w:textAlignment w:val="auto"/>
        <w:rPr>
          <w:rFonts w:ascii="仿宋_GB2312" w:hAnsi="仿宋_GB2312" w:eastAsia="仿宋_GB2312" w:cs="仿宋_GB2312"/>
          <w:sz w:val="32"/>
          <w:szCs w:val="32"/>
        </w:rPr>
      </w:pPr>
      <w:r>
        <w:rPr>
          <w:rFonts w:hint="eastAsia" w:ascii="仿宋_GB2312" w:hAnsi="仿宋_GB2312" w:eastAsia="仿宋_GB2312" w:cs="仿宋_GB2312"/>
          <w:w w:val="96"/>
          <w:sz w:val="32"/>
          <w:szCs w:val="32"/>
          <w:lang w:val="en-US" w:eastAsia="zh-CN"/>
        </w:rPr>
        <w:t>自评报告</w:t>
      </w:r>
    </w:p>
    <w:p>
      <w:pPr>
        <w:keepNext w:val="0"/>
        <w:keepLines w:val="0"/>
        <w:pageBreakBefore w:val="0"/>
        <w:widowControl w:val="0"/>
        <w:kinsoku/>
        <w:wordWrap/>
        <w:overflowPunct/>
        <w:topLinePunct w:val="0"/>
        <w:autoSpaceDE/>
        <w:autoSpaceDN/>
        <w:bidi w:val="0"/>
        <w:adjustRightInd/>
        <w:snapToGrid/>
        <w:spacing w:line="579" w:lineRule="exact"/>
        <w:ind w:firstLine="640"/>
        <w:textAlignment w:val="auto"/>
        <w:rPr>
          <w:rFonts w:hint="eastAsia" w:ascii="仿宋_GB2312" w:hAnsi="仿宋_GB2312" w:eastAsia="仿宋_GB2312" w:cs="仿宋_GB2312"/>
          <w:sz w:val="32"/>
          <w:szCs w:val="32"/>
          <w:lang w:eastAsia="zh-CN"/>
        </w:rPr>
      </w:pPr>
    </w:p>
    <w:p>
      <w:pPr>
        <w:keepNext w:val="0"/>
        <w:keepLines w:val="0"/>
        <w:pageBreakBefore w:val="0"/>
        <w:widowControl w:val="0"/>
        <w:kinsoku/>
        <w:wordWrap/>
        <w:overflowPunct/>
        <w:topLinePunct w:val="0"/>
        <w:autoSpaceDE/>
        <w:autoSpaceDN/>
        <w:bidi w:val="0"/>
        <w:adjustRightInd/>
        <w:snapToGrid/>
        <w:spacing w:line="579" w:lineRule="exact"/>
        <w:ind w:firstLine="640"/>
        <w:textAlignment w:val="auto"/>
        <w:rPr>
          <w:rFonts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579" w:lineRule="exact"/>
        <w:ind w:firstLine="640"/>
        <w:jc w:val="center"/>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 xml:space="preserve">    福田区教育局</w:t>
      </w:r>
    </w:p>
    <w:p>
      <w:pPr>
        <w:keepNext w:val="0"/>
        <w:keepLines w:val="0"/>
        <w:pageBreakBefore w:val="0"/>
        <w:widowControl w:val="0"/>
        <w:kinsoku/>
        <w:wordWrap w:val="0"/>
        <w:overflowPunct/>
        <w:topLinePunct w:val="0"/>
        <w:autoSpaceDE/>
        <w:autoSpaceDN/>
        <w:bidi w:val="0"/>
        <w:adjustRightInd/>
        <w:snapToGrid/>
        <w:spacing w:line="579" w:lineRule="exact"/>
        <w:ind w:firstLine="640"/>
        <w:jc w:val="righ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rPr>
        <w:t>202</w:t>
      </w:r>
      <w:r>
        <w:rPr>
          <w:rFonts w:hint="default" w:ascii="仿宋_GB2312" w:hAnsi="仿宋_GB2312" w:eastAsia="仿宋_GB2312" w:cs="仿宋_GB2312"/>
          <w:sz w:val="32"/>
          <w:szCs w:val="32"/>
          <w:lang w:val="en-US" w:eastAsia="zh-CN"/>
        </w:rPr>
        <w:t>5</w:t>
      </w:r>
      <w:r>
        <w:rPr>
          <w:rFonts w:hint="eastAsia" w:ascii="仿宋_GB2312" w:hAnsi="仿宋_GB2312" w:eastAsia="仿宋_GB2312" w:cs="仿宋_GB2312"/>
          <w:sz w:val="32"/>
          <w:szCs w:val="32"/>
        </w:rPr>
        <w:t>年</w:t>
      </w:r>
      <w:r>
        <w:rPr>
          <w:rFonts w:hint="eastAsia" w:ascii="仿宋_GB2312" w:hAnsi="仿宋_GB2312" w:eastAsia="仿宋_GB2312" w:cs="仿宋_GB2312"/>
          <w:sz w:val="32"/>
          <w:szCs w:val="32"/>
          <w:lang w:val="en-US" w:eastAsia="zh-CN"/>
        </w:rPr>
        <w:t>6</w:t>
      </w:r>
      <w:r>
        <w:rPr>
          <w:rFonts w:hint="eastAsia" w:ascii="仿宋_GB2312" w:hAnsi="仿宋_GB2312" w:eastAsia="仿宋_GB2312" w:cs="仿宋_GB2312"/>
          <w:sz w:val="32"/>
          <w:szCs w:val="32"/>
        </w:rPr>
        <w:t>月</w:t>
      </w:r>
      <w:r>
        <w:rPr>
          <w:rFonts w:hint="eastAsia" w:ascii="仿宋_GB2312" w:hAnsi="仿宋_GB2312" w:eastAsia="仿宋_GB2312" w:cs="仿宋_GB2312"/>
          <w:sz w:val="32"/>
          <w:szCs w:val="32"/>
          <w:lang w:val="en-US" w:eastAsia="zh-CN"/>
        </w:rPr>
        <w:t>17</w:t>
      </w:r>
      <w:r>
        <w:rPr>
          <w:rFonts w:hint="eastAsia" w:ascii="仿宋_GB2312" w:hAnsi="仿宋_GB2312" w:eastAsia="仿宋_GB2312" w:cs="仿宋_GB2312"/>
          <w:sz w:val="32"/>
          <w:szCs w:val="32"/>
        </w:rPr>
        <w:t>日</w:t>
      </w:r>
      <w:r>
        <w:rPr>
          <w:rFonts w:hint="eastAsia" w:ascii="仿宋_GB2312" w:hAnsi="仿宋_GB2312" w:eastAsia="仿宋_GB2312" w:cs="仿宋_GB2312"/>
          <w:sz w:val="32"/>
          <w:szCs w:val="32"/>
          <w:lang w:val="en-US" w:eastAsia="zh-CN"/>
        </w:rPr>
        <w:t xml:space="preserve"> </w:t>
      </w:r>
    </w:p>
    <w:sectPr>
      <w:footerReference r:id="rId3" w:type="default"/>
      <w:pgSz w:w="11906" w:h="16838"/>
      <w:pgMar w:top="1440" w:right="1474" w:bottom="1440" w:left="158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rPr>
                              <w:rFonts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rot="0" spcFirstLastPara="0" vertOverflow="overflow" horzOverflow="overflow" vert="horz" wrap="none" lIns="0" tIns="0" rIns="0" bIns="0" numCol="1" spcCol="0" rtlCol="0" fromWordArt="false" anchor="t" anchorCtr="false" forceAA="false" compatLnSpc="true">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WAAAAZHJzL1BLAQIUABQAAAAIAIdO4kCz&#10;SVju0AAAAAUBAAAPAAAAAAAAAAEAIAAAADgAAABkcnMvZG93bnJldi54bWxQSwECFAAUAAAACACH&#10;TuJAF7rpKxYCAAAZBAAADgAAAAAAAAABACAAAAA1AQAAZHJzL2Uyb0RvYy54bWxQSwUGAAAAAAYA&#10;BgBZAQAAvQUAAAAA&#10;">
              <v:fill on="f" focussize="0,0"/>
              <v:stroke on="f" weight="0.5pt"/>
              <v:imagedata o:title=""/>
              <o:lock v:ext="edit" aspectratio="f"/>
              <v:textbox inset="0mm,0mm,0mm,0mm" style="mso-fit-shape-to-text:t;">
                <w:txbxContent>
                  <w:p>
                    <w:pPr>
                      <w:pStyle w:val="2"/>
                      <w:rPr>
                        <w:rFonts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6A3292A"/>
    <w:multiLevelType w:val="singleLevel"/>
    <w:tmpl w:val="56A3292A"/>
    <w:lvl w:ilvl="0" w:tentative="0">
      <w:start w:val="1"/>
      <w:numFmt w:val="chineseCounting"/>
      <w:suff w:val="nothing"/>
      <w:lvlText w:val="%1、"/>
      <w:lvlJc w:val="left"/>
      <w:pPr>
        <w:ind w:left="-1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TrueTypeFonts/>
  <w:saveSubsetFonts/>
  <w:bordersDoNotSurroundHeader w:val="false"/>
  <w:bordersDoNotSurroundFooter w:val="false"/>
  <w:documentProtection w:enforcement="0"/>
  <w:defaultTabStop w:val="420"/>
  <w:drawingGridVerticalSpacing w:val="156"/>
  <w:displayHorizontalDrawingGridEvery w:val="1"/>
  <w:displayVerticalDrawingGridEvery w:val="1"/>
  <w:noPunctuationKerning w:val="true"/>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c2Y2IwM2U0NDVhMTQzY2U2YzkwOGRhNTUzMmM5N2QifQ=="/>
  </w:docVars>
  <w:rsids>
    <w:rsidRoot w:val="000F1B4B"/>
    <w:rsid w:val="000563EE"/>
    <w:rsid w:val="000657E9"/>
    <w:rsid w:val="000F1B4B"/>
    <w:rsid w:val="000F7470"/>
    <w:rsid w:val="00150BAA"/>
    <w:rsid w:val="001747F8"/>
    <w:rsid w:val="00510947"/>
    <w:rsid w:val="00734603"/>
    <w:rsid w:val="009C7E6F"/>
    <w:rsid w:val="00A75EA6"/>
    <w:rsid w:val="00AC4294"/>
    <w:rsid w:val="00B75930"/>
    <w:rsid w:val="00C154AD"/>
    <w:rsid w:val="00DD6C7B"/>
    <w:rsid w:val="00EA2E82"/>
    <w:rsid w:val="00F17AE3"/>
    <w:rsid w:val="00F26C1C"/>
    <w:rsid w:val="02866798"/>
    <w:rsid w:val="03087393"/>
    <w:rsid w:val="04300298"/>
    <w:rsid w:val="06463BA5"/>
    <w:rsid w:val="06B239A7"/>
    <w:rsid w:val="0C527636"/>
    <w:rsid w:val="0F4E396D"/>
    <w:rsid w:val="11874B4B"/>
    <w:rsid w:val="13A97905"/>
    <w:rsid w:val="13D65269"/>
    <w:rsid w:val="15B05357"/>
    <w:rsid w:val="161E291E"/>
    <w:rsid w:val="17DEC2D3"/>
    <w:rsid w:val="19AF7183"/>
    <w:rsid w:val="1B7B5759"/>
    <w:rsid w:val="1DB71EB7"/>
    <w:rsid w:val="1DDFA5B3"/>
    <w:rsid w:val="1EDE30D4"/>
    <w:rsid w:val="1FF3FE57"/>
    <w:rsid w:val="215F0726"/>
    <w:rsid w:val="244F3ADC"/>
    <w:rsid w:val="287419A9"/>
    <w:rsid w:val="2A037491"/>
    <w:rsid w:val="2EAC23BC"/>
    <w:rsid w:val="2FA37C3C"/>
    <w:rsid w:val="2FFB9AC2"/>
    <w:rsid w:val="34994AF3"/>
    <w:rsid w:val="35FD0B8F"/>
    <w:rsid w:val="36D9619A"/>
    <w:rsid w:val="37FB6930"/>
    <w:rsid w:val="392E653A"/>
    <w:rsid w:val="39F9B8B4"/>
    <w:rsid w:val="3D776179"/>
    <w:rsid w:val="3E686859"/>
    <w:rsid w:val="3EFF767F"/>
    <w:rsid w:val="3F0237B8"/>
    <w:rsid w:val="3F5F51EA"/>
    <w:rsid w:val="3F7CA81A"/>
    <w:rsid w:val="3FDFF5EB"/>
    <w:rsid w:val="3FFBF267"/>
    <w:rsid w:val="3FFF78C4"/>
    <w:rsid w:val="411E510D"/>
    <w:rsid w:val="416F0CB2"/>
    <w:rsid w:val="41DF74C9"/>
    <w:rsid w:val="428B0EFF"/>
    <w:rsid w:val="4475773A"/>
    <w:rsid w:val="46BCA92E"/>
    <w:rsid w:val="47650B87"/>
    <w:rsid w:val="47BB2C88"/>
    <w:rsid w:val="49E375A6"/>
    <w:rsid w:val="4AE66C9B"/>
    <w:rsid w:val="4B8D35BB"/>
    <w:rsid w:val="4BFD87C8"/>
    <w:rsid w:val="4C091B2B"/>
    <w:rsid w:val="4E096892"/>
    <w:rsid w:val="4F6B80BA"/>
    <w:rsid w:val="4FFBEA42"/>
    <w:rsid w:val="50516592"/>
    <w:rsid w:val="515F7864"/>
    <w:rsid w:val="5264189C"/>
    <w:rsid w:val="52E37AEB"/>
    <w:rsid w:val="53FEAF99"/>
    <w:rsid w:val="575B5535"/>
    <w:rsid w:val="575FEA67"/>
    <w:rsid w:val="57747482"/>
    <w:rsid w:val="57B96060"/>
    <w:rsid w:val="5BC78B25"/>
    <w:rsid w:val="5BE76115"/>
    <w:rsid w:val="5BFE2858"/>
    <w:rsid w:val="5F7FF807"/>
    <w:rsid w:val="5F976AC3"/>
    <w:rsid w:val="5FF20499"/>
    <w:rsid w:val="5FF3628E"/>
    <w:rsid w:val="5FFFD1F0"/>
    <w:rsid w:val="602025C1"/>
    <w:rsid w:val="60B9294A"/>
    <w:rsid w:val="61EA6ED8"/>
    <w:rsid w:val="62B6203E"/>
    <w:rsid w:val="63FD5312"/>
    <w:rsid w:val="67F4FA6B"/>
    <w:rsid w:val="67FDF22F"/>
    <w:rsid w:val="69C368E3"/>
    <w:rsid w:val="6A0B66BF"/>
    <w:rsid w:val="6A7F335D"/>
    <w:rsid w:val="6ABB67D3"/>
    <w:rsid w:val="6B723847"/>
    <w:rsid w:val="6B890FC3"/>
    <w:rsid w:val="6BEF9DD2"/>
    <w:rsid w:val="6BFF2479"/>
    <w:rsid w:val="6D7FC622"/>
    <w:rsid w:val="6DFF0364"/>
    <w:rsid w:val="6EEE288A"/>
    <w:rsid w:val="6F9A9C89"/>
    <w:rsid w:val="6F9F1487"/>
    <w:rsid w:val="6FB48F6E"/>
    <w:rsid w:val="6FD798C3"/>
    <w:rsid w:val="6FF7FB76"/>
    <w:rsid w:val="703E478D"/>
    <w:rsid w:val="7052E31D"/>
    <w:rsid w:val="712F1EB4"/>
    <w:rsid w:val="71FCAD3D"/>
    <w:rsid w:val="73DE8BDE"/>
    <w:rsid w:val="73EF4425"/>
    <w:rsid w:val="753710E3"/>
    <w:rsid w:val="75BF6B76"/>
    <w:rsid w:val="763E8AAA"/>
    <w:rsid w:val="76BAE1D7"/>
    <w:rsid w:val="773FE3C1"/>
    <w:rsid w:val="77DCC91D"/>
    <w:rsid w:val="77FFB684"/>
    <w:rsid w:val="78AE66F6"/>
    <w:rsid w:val="78F760C2"/>
    <w:rsid w:val="7A738C6F"/>
    <w:rsid w:val="7B3D3605"/>
    <w:rsid w:val="7B7F5F85"/>
    <w:rsid w:val="7B952447"/>
    <w:rsid w:val="7BAF1A40"/>
    <w:rsid w:val="7BBB089C"/>
    <w:rsid w:val="7BBF8B61"/>
    <w:rsid w:val="7BFC728F"/>
    <w:rsid w:val="7BFE2040"/>
    <w:rsid w:val="7C955136"/>
    <w:rsid w:val="7CEB040E"/>
    <w:rsid w:val="7CF7ACAE"/>
    <w:rsid w:val="7DDF2DA9"/>
    <w:rsid w:val="7DF6BAD4"/>
    <w:rsid w:val="7DF76CBA"/>
    <w:rsid w:val="7DFC1682"/>
    <w:rsid w:val="7E7EA2F4"/>
    <w:rsid w:val="7EFF5693"/>
    <w:rsid w:val="7F363046"/>
    <w:rsid w:val="7F5B4CDD"/>
    <w:rsid w:val="7F6F1D27"/>
    <w:rsid w:val="7F771E98"/>
    <w:rsid w:val="7FAEDDE3"/>
    <w:rsid w:val="7FBF6DF9"/>
    <w:rsid w:val="7FBFB1BF"/>
    <w:rsid w:val="7FCF2D32"/>
    <w:rsid w:val="7FEF380B"/>
    <w:rsid w:val="7FEFA9C7"/>
    <w:rsid w:val="7FFE561A"/>
    <w:rsid w:val="91BB1ECB"/>
    <w:rsid w:val="93AFC123"/>
    <w:rsid w:val="9967229A"/>
    <w:rsid w:val="9BBDB563"/>
    <w:rsid w:val="9FDDFF15"/>
    <w:rsid w:val="9FF97CDE"/>
    <w:rsid w:val="9FFDC42D"/>
    <w:rsid w:val="9FFFA7D2"/>
    <w:rsid w:val="A2E75D47"/>
    <w:rsid w:val="A3EF9498"/>
    <w:rsid w:val="AFBF6C79"/>
    <w:rsid w:val="B7FD62FD"/>
    <w:rsid w:val="BE765DD8"/>
    <w:rsid w:val="BEFAE68F"/>
    <w:rsid w:val="BEFDA428"/>
    <w:rsid w:val="BFF79D9A"/>
    <w:rsid w:val="BFFB73F0"/>
    <w:rsid w:val="BFFD0A8F"/>
    <w:rsid w:val="BFFD23F5"/>
    <w:rsid w:val="D3E8887B"/>
    <w:rsid w:val="D5FDB6CB"/>
    <w:rsid w:val="D7FB523C"/>
    <w:rsid w:val="DB6DD57E"/>
    <w:rsid w:val="DC7B2002"/>
    <w:rsid w:val="DD2FB91D"/>
    <w:rsid w:val="DE1E1D3F"/>
    <w:rsid w:val="DEDE76B2"/>
    <w:rsid w:val="DEF732A1"/>
    <w:rsid w:val="DEFFB2D8"/>
    <w:rsid w:val="DF765A6E"/>
    <w:rsid w:val="DF7F570D"/>
    <w:rsid w:val="DFDD791C"/>
    <w:rsid w:val="DFFBCD20"/>
    <w:rsid w:val="E1FFDDB8"/>
    <w:rsid w:val="E6CE68D6"/>
    <w:rsid w:val="E7CE3EF2"/>
    <w:rsid w:val="EBFBB0C1"/>
    <w:rsid w:val="EDEF7DD3"/>
    <w:rsid w:val="EEEF0F4D"/>
    <w:rsid w:val="EF798EEB"/>
    <w:rsid w:val="EFFEF99B"/>
    <w:rsid w:val="F0F2F3AF"/>
    <w:rsid w:val="F1D5F9DF"/>
    <w:rsid w:val="F1F734D1"/>
    <w:rsid w:val="F5D653BE"/>
    <w:rsid w:val="F5DF7DE4"/>
    <w:rsid w:val="F5FDDAA0"/>
    <w:rsid w:val="F6772107"/>
    <w:rsid w:val="F73B7E4D"/>
    <w:rsid w:val="F76FEEA7"/>
    <w:rsid w:val="F7FF7EA9"/>
    <w:rsid w:val="F9AE8997"/>
    <w:rsid w:val="F9D499DF"/>
    <w:rsid w:val="FAFB8DC8"/>
    <w:rsid w:val="FB7B7163"/>
    <w:rsid w:val="FBBAF78D"/>
    <w:rsid w:val="FBEA4934"/>
    <w:rsid w:val="FBFF2021"/>
    <w:rsid w:val="FD6A89B3"/>
    <w:rsid w:val="FD7B1B9F"/>
    <w:rsid w:val="FD9741D7"/>
    <w:rsid w:val="FDAE89F2"/>
    <w:rsid w:val="FDFB6880"/>
    <w:rsid w:val="FE7F715C"/>
    <w:rsid w:val="FED01B2F"/>
    <w:rsid w:val="FEDB787D"/>
    <w:rsid w:val="FEFF7359"/>
    <w:rsid w:val="FF5F46BD"/>
    <w:rsid w:val="FF7B51D0"/>
    <w:rsid w:val="FF97DBC8"/>
    <w:rsid w:val="FF9BBF75"/>
    <w:rsid w:val="FFBE395A"/>
    <w:rsid w:val="FFC6FD50"/>
    <w:rsid w:val="FFD516FF"/>
    <w:rsid w:val="FFDB5E7A"/>
    <w:rsid w:val="FFDDF2D1"/>
    <w:rsid w:val="FFE39F31"/>
    <w:rsid w:val="FFF792CD"/>
    <w:rsid w:val="FFFE397E"/>
    <w:rsid w:val="FFFF4A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Emphasis"/>
    <w:basedOn w:val="7"/>
    <w:qFormat/>
    <w:uiPriority w:val="0"/>
    <w:rPr>
      <w:i/>
    </w:rPr>
  </w:style>
  <w:style w:type="character" w:customStyle="1" w:styleId="9">
    <w:name w:val="font21"/>
    <w:basedOn w:val="7"/>
    <w:qFormat/>
    <w:uiPriority w:val="0"/>
    <w:rPr>
      <w:rFonts w:hint="default" w:ascii="仿宋_GB2312" w:eastAsia="仿宋_GB2312" w:cs="仿宋_GB2312"/>
      <w:color w:val="000000"/>
      <w:sz w:val="28"/>
      <w:szCs w:val="28"/>
      <w:u w:val="none"/>
    </w:rPr>
  </w:style>
  <w:style w:type="character" w:customStyle="1" w:styleId="10">
    <w:name w:val="font11"/>
    <w:basedOn w:val="7"/>
    <w:qFormat/>
    <w:uiPriority w:val="0"/>
    <w:rPr>
      <w:rFonts w:hint="default" w:ascii="仿宋_GB2312" w:eastAsia="仿宋_GB2312" w:cs="仿宋_GB2312"/>
      <w:color w:val="000000"/>
      <w:sz w:val="28"/>
      <w:szCs w:val="28"/>
      <w:u w:val="none"/>
    </w:rPr>
  </w:style>
  <w:style w:type="paragraph" w:customStyle="1" w:styleId="11">
    <w:name w:val="正文缩进1"/>
    <w:basedOn w:val="1"/>
    <w:qFormat/>
    <w:uiPriority w:val="0"/>
    <w:pPr>
      <w:spacing w:line="360" w:lineRule="auto"/>
    </w:pPr>
    <w:rPr>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Words>5348</Words>
  <Characters>5728</Characters>
  <Lines>22</Lines>
  <Paragraphs>6</Paragraphs>
  <TotalTime>21</TotalTime>
  <ScaleCrop>false</ScaleCrop>
  <LinksUpToDate>false</LinksUpToDate>
  <CharactersWithSpaces>5728</CharactersWithSpaces>
  <Application>WPS Office_11.8.2.10458_F1E327BC-269C-435d-A152-05C5408002CA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2022-04-07T11:01:00Z</dcterms:created>
  <dc:creator>admin</dc:creator>
  <cp:lastModifiedBy>严斯乐</cp:lastModifiedBy>
  <cp:lastPrinted>2025-06-18T07:22:00Z</cp:lastPrinted>
  <dcterms:modified xsi:type="dcterms:W3CDTF">2025-06-18T15:41:14Z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2052-11.8.2.10458</vt:lpwstr>
  </property>
  <property fmtid="{D5CDD505-2E9C-101B-9397-08002B2CF9AE}" pid="3" name="ICV">
    <vt:lpwstr>B7960E474CDE4DB0B1A6E7D68F20B37B_13</vt:lpwstr>
  </property>
  <property fmtid="{D5CDD505-2E9C-101B-9397-08002B2CF9AE}" pid="4" name="KSOTemplateDocerSaveRecord">
    <vt:lpwstr>eyJoZGlkIjoiYjA0NDZlNDExYTIxYmMzMzgxMmZmYjAzYzFjYjc2NTkiLCJ1c2VySWQiOiI0NDg3ODIwOTcifQ==</vt:lpwstr>
  </property>
</Properties>
</file>