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E731D">
      <w:pPr>
        <w:pStyle w:val="2"/>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560" w:lineRule="exact"/>
        <w:ind w:firstLine="883" w:firstLineChars="200"/>
        <w:jc w:val="both"/>
        <w:textAlignment w:val="auto"/>
        <w:rPr>
          <w:rFonts w:ascii="方正小标宋简体" w:hAnsi="方正小标宋简体" w:eastAsia="方正小标宋简体" w:cs="Google Sans"/>
          <w:b/>
          <w:i w:val="0"/>
          <w:color w:val="1B1C1D"/>
          <w:sz w:val="44"/>
          <w:szCs w:val="32"/>
          <w:rtl w:val="0"/>
        </w:rPr>
      </w:pPr>
    </w:p>
    <w:p w14:paraId="6D917AB1">
      <w:pPr>
        <w:pStyle w:val="2"/>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560" w:lineRule="exact"/>
        <w:jc w:val="center"/>
        <w:textAlignment w:val="auto"/>
        <w:rPr>
          <w:rFonts w:ascii="方正小标宋简体" w:hAnsi="方正小标宋简体" w:eastAsia="方正小标宋简体" w:cs="Google Sans"/>
          <w:b/>
          <w:i w:val="0"/>
          <w:color w:val="1B1C1D"/>
          <w:sz w:val="44"/>
          <w:szCs w:val="32"/>
          <w:rtl w:val="0"/>
        </w:rPr>
      </w:pPr>
      <w:r>
        <w:rPr>
          <w:rFonts w:ascii="方正小标宋简体" w:hAnsi="方正小标宋简体" w:eastAsia="方正小标宋简体" w:cs="Google Sans"/>
          <w:b/>
          <w:i w:val="0"/>
          <w:color w:val="1B1C1D"/>
          <w:sz w:val="44"/>
          <w:szCs w:val="32"/>
          <w:rtl w:val="0"/>
        </w:rPr>
        <w:t>国际与国内非共识颠覆性技术项目</w:t>
      </w:r>
    </w:p>
    <w:p w14:paraId="00000001">
      <w:pPr>
        <w:pStyle w:val="2"/>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560" w:lineRule="exact"/>
        <w:jc w:val="center"/>
        <w:textAlignment w:val="auto"/>
        <w:rPr>
          <w:rFonts w:ascii="方正小标宋简体" w:hAnsi="方正小标宋简体" w:eastAsia="方正小标宋简体" w:cs="Google Sans"/>
          <w:b/>
          <w:i w:val="0"/>
          <w:color w:val="1B1C1D"/>
          <w:sz w:val="44"/>
          <w:szCs w:val="32"/>
          <w:rtl w:val="0"/>
        </w:rPr>
      </w:pPr>
      <w:r>
        <w:rPr>
          <w:rFonts w:ascii="方正小标宋简体" w:hAnsi="方正小标宋简体" w:eastAsia="方正小标宋简体" w:cs="Google Sans"/>
          <w:b/>
          <w:i w:val="0"/>
          <w:color w:val="1B1C1D"/>
          <w:sz w:val="44"/>
          <w:szCs w:val="32"/>
          <w:rtl w:val="0"/>
        </w:rPr>
        <w:t>资助方式对比分析报告</w:t>
      </w:r>
    </w:p>
    <w:p w14:paraId="744C4015">
      <w:pPr>
        <w:keepNext w:val="0"/>
        <w:keepLines w:val="0"/>
        <w:pageBreakBefore w:val="0"/>
        <w:widowControl w:val="0"/>
        <w:kinsoku/>
        <w:wordWrap/>
        <w:overflowPunct/>
        <w:topLinePunct w:val="0"/>
        <w:autoSpaceDE/>
        <w:autoSpaceDN/>
        <w:bidi w:val="0"/>
        <w:adjustRightInd/>
        <w:snapToGrid/>
        <w:spacing w:line="560" w:lineRule="exact"/>
        <w:ind w:firstLine="440" w:firstLineChars="200"/>
        <w:jc w:val="both"/>
        <w:textAlignment w:val="auto"/>
      </w:pP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b/>
          <w:i w:val="0"/>
          <w:color w:val="1B1C1D"/>
          <w:sz w:val="24"/>
          <w:szCs w:val="24"/>
        </w:rPr>
      </w:pPr>
      <w:r>
        <w:rPr>
          <w:rFonts w:ascii="黑体" w:hAnsi="黑体" w:eastAsia="黑体" w:cs="Google Sans Text"/>
          <w:b w:val="0"/>
          <w:i w:val="0"/>
          <w:color w:val="1B1C1D"/>
          <w:sz w:val="32"/>
          <w:szCs w:val="24"/>
          <w:rtl w:val="0"/>
        </w:rPr>
        <w:t>摘要</w:t>
      </w: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非共识颠覆性技术是推动国家竞争力和社会进步的关键驱动力，其资助机制在全球范围内受到高度重视。本报告旨在深入分析国际主要经济体（美国、欧盟、英国、日本）与中国在资助此类项目上的模式、机制、评估标准及风险管理策略。报告界定了“非共识颠覆性技术”在科研资助背景下的内涵，即兼具颠覆潜力与科研范式挑战性、高风险、高回报、非共识性的技术。</w:t>
      </w: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国际上，形成了以美国国防高级研究计划局（DARPA）、能源部高级研究计划署（ARPA-E）、英国高级研究与发明局（ARIA）和日本“Moonshot”计划为代表的任务导向、项目经理负责制模式，以及以欧洲研究理事会（ERC）为代表的、强调研究者驱动、卓越科学标准和同行评议的模式。这些模式运用拨款、合同、挑战赛、种子基金等多样化工具，并通过独特的评估方法（如“海尔梅尔灵魂之问”、卓越性评估）和风险管理机制（如项目组合、阶段性评估）来识别和支持高风险项目。</w:t>
      </w: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中国正加速构建其非共识颠覆性技术资助体系，以国家重点研发计划“颠覆性技术创新”重点专项、国家自然科学基金（NSFC）的原创探索类项目、地方政府专项（如上海）以及日益活跃但受国家战略影响显著的风险投资（VC）为主。中国模式呈现出强烈的国家战略导向，采用专业机构/中心管理、多渠道发现、“育种-育苗-育材”梯度布局、动态评估与滚动支持等特色机制。其评估体系明确摒弃传统指标，强调战略价值、颠覆潜力与技术独特性，并引入专家推荐和迭代式论证。</w:t>
      </w: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对比分析显示，国际与中国模式在战略目标（国家安全、能源转型、科学前沿vs.科技自立自强、战略制高点）、组织结构（独立机构vs.国家计划框架内中心）、评估哲学（项目经理/同行评议vs.专家主导/动态管理）和风险管理文化上存在显著差异。中国模式体现了强大的资源调动能力和战略聚焦，但在培育真正“非共识”思想的文化环境、项目遴选透明度以及平衡政府引导与市场机制方面仍面临挑战。</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报告总结国际经验对中国的潜在借鉴意义，包括重视长期投入、平衡顶层设计与自下而上探索、完善成果转化机制、优化评估方法、培育风险容忍文化等。未来，资助颠覆性创新将面临更激烈的国际竞争，对伦理治理和负责任创新的关注也将提升。中国需持续优化其资助体系，以有效激发和培育能够引领未来的颠覆性力量。</w:t>
      </w: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b/>
          <w:i w:val="0"/>
          <w:color w:val="1B1C1D"/>
          <w:sz w:val="24"/>
          <w:szCs w:val="24"/>
        </w:rPr>
      </w:pPr>
      <w:r>
        <w:rPr>
          <w:rFonts w:ascii="黑体" w:hAnsi="黑体" w:eastAsia="黑体"/>
          <w:b w:val="0"/>
          <w:sz w:val="32"/>
        </w:rPr>
        <w:t>一、界定科研资助背景下的“非共识颠覆性技术”</w:t>
      </w:r>
    </w:p>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为了有效探讨国际与国内对此类技术的资助方式，首先必须清晰界定“非共识颠覆性技术”在科研资助语境下的具体含义及其关键指征。</w:t>
      </w: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（一）颠覆性技术与创新的本质</w:t>
      </w: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颠覆性技术（Disruptive Technology）通常指那些能够显著改变消费者、产业或商业运作方式的创新。这类技术之所以具有颠覆性，是因为它们拥有明显优于现有技术或习惯的属性，最终会取代旧有的系统或模式。历史和当代的例子包括汽车、电力服务、电子商务、在线新闻、共享出行应用和GPS系统等。颠覆性技术的核心特征在于其能够创造重大的世界性变革，其影响往往超越纯粹的经济层面。</w:t>
      </w:r>
    </w:p>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颠覆性技术往往并非源自市场领导者或成熟企业，后者更倾向于在其核心业务上进行渐进式改进，以满足最大、最苛刻客户的需求。相反，颠覆性创新常常由新进入者或初创企业发起，它们瞄准被主流市场忽视的客户群体或应用场景，从而获得立足点，并逐步向上游移动，蚕食更多市场份额。这种颠覆过程往往难以预测和准备，因为它们可能突然出现。此外，颠覆性技术可能伴随着潜在的“双重用途”风险，即其应用可能同时带来巨大的社会效益和潜在危害，这在资助决策中需要予以考量。</w:t>
      </w: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32"/>
          <w:szCs w:val="32"/>
        </w:rPr>
      </w:pPr>
      <w:r>
        <w:rPr>
          <w:rFonts w:ascii="楷体_GB2312" w:hAnsi="楷体_GB2312" w:eastAsia="楷体_GB2312"/>
          <w:b/>
          <w:sz w:val="32"/>
          <w:szCs w:val="32"/>
        </w:rPr>
        <w:t>（二）理解研发中的“非共识”与“高风险、高回报”</w:t>
      </w: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在科研资助领域，“非共识颠覆性技术”的概念与“高风险、高回报”（High-Risk,High-Reward,HRHR）研究紧密相关。HRHR研究被定义为失败风险高，但具有突破性、创新性和原创性特征的科学研究活动。这类研究是衡量一个国家原始科技创新能力的重要体现，致力于带来重大的科学发现和技术突破，有助于加速提升国家在原始科技领域的竞争力。</w:t>
      </w: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经济合作与发展组织（OECD）的研究指出，HRHR研究通常具备三个突出特征：更高的基础性（basicness）、普适性（generality，即适用于广泛的研究领域）和新颖性（novelty，即相比现有技术水平实现了跨越式发展）。这些特性往往与市场失灵相关，因为它们通常具有巨大的溢出效应、漫长的时间周期和高度的不确定性，因此需要公共资金的投入。</w:t>
      </w: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非共识”（Non-Consensus）则特别指向那些挑战科研共同体内部传统认知或主流范式的项目。这类项目可能因为其理念过于超前、缺乏足够的初步数据支撑，或与当前普遍接受的理论框架相悖，而在传统的同行评议体系中难以获得认可。中国的实践中，“非共识项目”的筛选被认为需要跳脱传统指标，不问出身、不设门槛、不唯过往业绩。因此，“非共识”强调的是在专家或同行群体内部缺乏广泛一致认同的状态。</w:t>
      </w:r>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（三）资助考量的关键特征（新颖性、</w:t>
      </w:r>
      <w:r>
        <w:rPr>
          <w:rFonts w:hint="eastAsia" w:ascii="楷体_GB2312" w:hAnsi="楷体_GB2312" w:eastAsia="楷体_GB2312"/>
          <w:b/>
          <w:sz w:val="32"/>
          <w:lang w:val="en-US" w:eastAsia="zh-CN"/>
        </w:rPr>
        <w:t>潜力</w:t>
      </w:r>
      <w:r>
        <w:rPr>
          <w:rFonts w:ascii="楷体_GB2312" w:hAnsi="楷体_GB2312" w:eastAsia="楷体_GB2312"/>
          <w:b/>
          <w:sz w:val="32"/>
        </w:rPr>
        <w:t>、不确定性）</w:t>
      </w:r>
    </w:p>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综合来看，资助机构在评估“非共识颠覆性技术”项目时，会关注以下几个核心特征：</w:t>
      </w:r>
    </w:p>
    <w:p w14:paraId="00000013">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firstLine="643" w:firstLineChars="200"/>
        <w:jc w:val="both"/>
        <w:textAlignment w:val="auto"/>
      </w:pPr>
      <w:r>
        <w:rPr>
          <w:rFonts w:hint="eastAsia" w:ascii="仿宋_GB2312" w:hAnsi="仿宋_GB2312" w:eastAsia="仿宋_GB2312" w:cs="Google Sans Text"/>
          <w:b/>
          <w:bCs/>
          <w:i w:val="0"/>
          <w:color w:val="1B1C1D"/>
          <w:sz w:val="32"/>
          <w:szCs w:val="24"/>
          <w:rtl w:val="0"/>
          <w:lang w:val="en-US" w:eastAsia="zh-CN"/>
        </w:rPr>
        <w:t>1、</w:t>
      </w:r>
      <w:r>
        <w:rPr>
          <w:rFonts w:ascii="仿宋_GB2312" w:hAnsi="仿宋_GB2312" w:eastAsia="仿宋_GB2312" w:cs="Google Sans Text"/>
          <w:b/>
          <w:bCs/>
          <w:i w:val="0"/>
          <w:color w:val="1B1C1D"/>
          <w:sz w:val="32"/>
          <w:szCs w:val="24"/>
          <w:rtl w:val="0"/>
        </w:rPr>
        <w:t>新颖性/原创性（Novelty/Originality）：</w:t>
      </w:r>
      <w:r>
        <w:rPr>
          <w:rFonts w:ascii="仿宋_GB2312" w:hAnsi="仿宋_GB2312" w:eastAsia="仿宋_GB2312" w:cs="Google Sans Text"/>
          <w:b w:val="0"/>
          <w:i w:val="0"/>
          <w:color w:val="1B1C1D"/>
          <w:sz w:val="32"/>
          <w:szCs w:val="24"/>
          <w:rtl w:val="0"/>
        </w:rPr>
        <w:t>项目必须代表着对现有知识或技术的显著偏离，探索全新的路径。它可能涉及跨学科方法，或提出非传统、颠覆性的研究思路。中国的标准中包含了“路线特”，即独特的技术路线。</w:t>
      </w:r>
    </w:p>
    <w:p w14:paraId="00000014">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firstLine="643" w:firstLineChars="200"/>
        <w:jc w:val="both"/>
        <w:textAlignment w:val="auto"/>
      </w:pPr>
      <w:r>
        <w:rPr>
          <w:rFonts w:hint="eastAsia" w:ascii="仿宋_GB2312" w:hAnsi="仿宋_GB2312" w:eastAsia="仿宋_GB2312" w:cs="Google Sans Text"/>
          <w:b/>
          <w:bCs/>
          <w:i w:val="0"/>
          <w:color w:val="1B1C1D"/>
          <w:sz w:val="32"/>
          <w:szCs w:val="24"/>
          <w:rtl w:val="0"/>
          <w:lang w:val="en-US" w:eastAsia="zh-CN"/>
        </w:rPr>
        <w:t>2、</w:t>
      </w:r>
      <w:r>
        <w:rPr>
          <w:rFonts w:ascii="仿宋_GB2312" w:hAnsi="仿宋_GB2312" w:eastAsia="仿宋_GB2312" w:cs="Google Sans Text"/>
          <w:b/>
          <w:bCs/>
          <w:i w:val="0"/>
          <w:color w:val="1B1C1D"/>
          <w:sz w:val="32"/>
          <w:szCs w:val="24"/>
          <w:rtl w:val="0"/>
        </w:rPr>
        <w:t>变革潜力/高回报（Transformative Potential/High Reward）</w:t>
      </w:r>
      <w:r>
        <w:rPr>
          <w:rFonts w:ascii="仿宋_GB2312" w:hAnsi="仿宋_GB2312" w:eastAsia="仿宋_GB2312" w:cs="Google Sans Text"/>
          <w:b w:val="0"/>
          <w:i w:val="0"/>
          <w:color w:val="1B1C1D"/>
          <w:sz w:val="32"/>
          <w:szCs w:val="24"/>
          <w:rtl w:val="0"/>
        </w:rPr>
        <w:t>：项目需具备产生广泛影响的潜力，有望带来重大科学发现或技术突破，可能对经济、科学、技术产生重大影响，或引发颠覆性思维。这被认为是“改变游戏规则”的技术，能够创造或挑战现有范式。中国的标准中包含了“场景强”（应用场景具有战略性）和“需求刚”（解决重要且未被满足的需求）。</w:t>
      </w:r>
    </w:p>
    <w:p w14:paraId="00000015">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firstLine="643" w:firstLineChars="200"/>
        <w:jc w:val="both"/>
        <w:textAlignment w:val="auto"/>
      </w:pPr>
      <w:r>
        <w:rPr>
          <w:rFonts w:hint="eastAsia" w:ascii="仿宋_GB2312" w:hAnsi="仿宋_GB2312" w:eastAsia="仿宋_GB2312" w:cs="Google Sans Text"/>
          <w:b/>
          <w:bCs/>
          <w:i w:val="0"/>
          <w:color w:val="1B1C1D"/>
          <w:sz w:val="32"/>
          <w:szCs w:val="24"/>
          <w:rtl w:val="0"/>
          <w:lang w:val="en-US" w:eastAsia="zh-CN"/>
        </w:rPr>
        <w:t>3、</w:t>
      </w:r>
      <w:r>
        <w:rPr>
          <w:rFonts w:ascii="仿宋_GB2312" w:hAnsi="仿宋_GB2312" w:eastAsia="仿宋_GB2312" w:cs="Google Sans Text"/>
          <w:b/>
          <w:bCs/>
          <w:i w:val="0"/>
          <w:color w:val="1B1C1D"/>
          <w:sz w:val="32"/>
          <w:szCs w:val="24"/>
          <w:rtl w:val="0"/>
        </w:rPr>
        <w:t>高风险/不确定性（High Risk/Uncertainty）</w:t>
      </w:r>
      <w:r>
        <w:rPr>
          <w:rFonts w:ascii="仿宋_GB2312" w:hAnsi="仿宋_GB2312" w:eastAsia="仿宋_GB2312" w:cs="Google Sans Text"/>
          <w:b w:val="0"/>
          <w:i w:val="0"/>
          <w:color w:val="1B1C1D"/>
          <w:sz w:val="32"/>
          <w:szCs w:val="24"/>
          <w:rtl w:val="0"/>
        </w:rPr>
        <w:t>：项目固有失败的风险很高，甚至可能完全失败。它们可能因为过于早期或风险过高而难以通过传统评审。这类研究涉及大量的“未知的未知”，研究周期长，不确定性程度高。</w:t>
      </w:r>
    </w:p>
    <w:p w14:paraId="00000016">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line="560" w:lineRule="exact"/>
        <w:ind w:firstLine="643" w:firstLineChars="200"/>
        <w:jc w:val="both"/>
        <w:textAlignment w:val="auto"/>
      </w:pPr>
      <w:r>
        <w:rPr>
          <w:rFonts w:hint="eastAsia" w:ascii="仿宋_GB2312" w:hAnsi="仿宋_GB2312" w:eastAsia="仿宋_GB2312" w:cs="Google Sans Text"/>
          <w:b/>
          <w:bCs/>
          <w:i w:val="0"/>
          <w:color w:val="1B1C1D"/>
          <w:sz w:val="32"/>
          <w:szCs w:val="24"/>
          <w:rtl w:val="0"/>
          <w:lang w:val="en-US" w:eastAsia="zh-CN"/>
        </w:rPr>
        <w:t>4、</w:t>
      </w:r>
      <w:r>
        <w:rPr>
          <w:rFonts w:ascii="仿宋_GB2312" w:hAnsi="仿宋_GB2312" w:eastAsia="仿宋_GB2312" w:cs="Google Sans Text"/>
          <w:b/>
          <w:bCs/>
          <w:i w:val="0"/>
          <w:color w:val="1B1C1D"/>
          <w:sz w:val="32"/>
          <w:szCs w:val="24"/>
          <w:rtl w:val="0"/>
        </w:rPr>
        <w:t>非共识性（Non-Consensus）</w:t>
      </w:r>
      <w:r>
        <w:rPr>
          <w:rFonts w:ascii="仿宋_GB2312" w:hAnsi="仿宋_GB2312" w:eastAsia="仿宋_GB2312" w:cs="Google Sans Text"/>
          <w:b w:val="0"/>
          <w:i w:val="0"/>
          <w:color w:val="1B1C1D"/>
          <w:sz w:val="32"/>
          <w:szCs w:val="24"/>
          <w:rtl w:val="0"/>
        </w:rPr>
        <w:t>：项目明确挑战现有的规范、信念或技术路径，在提出初期可能缺乏领域内专家的广泛认同。</w:t>
      </w: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将这些概念结合起来分析，可以发现“非共识颠覆性技术”这一术语特别指出了双重挑战：它不仅具备改变市场或社会的颠覆潜力，而且其科学理念或技术路径本身就可能遭到现有科研共同体的质疑或否定。这种双重属性使得传统的、依赖共识和成熟度指标的研发资助机制，以及纯粹由市场驱动的风险投资模型，都难以有效支持这类技术的早期发展。</w:t>
      </w: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公共资金支持此类技术具有其合理性，因为它们往往具备市场失灵的特征，如高度的基础性、普适性、不确定性和长周期性。公共资助的目标通常是追求更基础性的范式转变和更广泛的社会经济效益，其风险/回报计算方式不同于追求较快市场回报（即使是利基市场）的私人风险投资。</w:t>
      </w:r>
    </w:p>
    <w:p w14:paraId="52887D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Google Sans Text"/>
          <w:b w:val="0"/>
          <w:i w:val="0"/>
          <w:color w:val="1B1C1D"/>
          <w:sz w:val="32"/>
          <w:szCs w:val="24"/>
          <w:rtl w:val="0"/>
        </w:rPr>
      </w:pPr>
      <w:r>
        <w:rPr>
          <w:rFonts w:ascii="仿宋_GB2312" w:hAnsi="仿宋_GB2312" w:eastAsia="仿宋_GB2312" w:cs="Google Sans Text"/>
          <w:b w:val="0"/>
          <w:i w:val="0"/>
          <w:color w:val="1B1C1D"/>
          <w:sz w:val="32"/>
          <w:szCs w:val="24"/>
          <w:rtl w:val="0"/>
        </w:rPr>
        <w:t>由于这类技术固有的不可预测性和“未知的未知”，资助模式必须拥抱探索、灵活性和容错性。这要求资助体系摆脱传统研发管理中常见的僵化、预设路径，转向支持发现和培育不可预见性的机制，例如提供灵活的资金使用权限、赋予项目经理更大的决策权，并建立对项目失败的容忍度。</w:t>
      </w:r>
    </w:p>
    <w:p w14:paraId="00000019">
      <w:pPr>
        <w:rPr>
          <w:rFonts w:ascii="仿宋_GB2312" w:hAnsi="仿宋_GB2312" w:eastAsia="仿宋_GB2312" w:cs="Google Sans Text"/>
          <w:b w:val="0"/>
          <w:i w:val="0"/>
          <w:color w:val="1B1C1D"/>
          <w:sz w:val="32"/>
          <w:szCs w:val="24"/>
          <w:rtl w:val="0"/>
        </w:rPr>
      </w:pPr>
      <w:r>
        <w:rPr>
          <w:rFonts w:ascii="仿宋_GB2312" w:hAnsi="仿宋_GB2312" w:eastAsia="仿宋_GB2312" w:cs="Google Sans Text"/>
          <w:b w:val="0"/>
          <w:i w:val="0"/>
          <w:color w:val="1B1C1D"/>
          <w:sz w:val="32"/>
          <w:szCs w:val="24"/>
          <w:rtl w:val="0"/>
        </w:rPr>
        <w:br w:type="page"/>
      </w:r>
    </w:p>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b/>
          <w:i w:val="0"/>
          <w:color w:val="1B1C1D"/>
          <w:sz w:val="24"/>
          <w:szCs w:val="24"/>
        </w:rPr>
      </w:pPr>
      <w:r>
        <w:rPr>
          <w:rFonts w:ascii="黑体" w:hAnsi="黑体" w:eastAsia="黑体"/>
          <w:b w:val="0"/>
          <w:sz w:val="32"/>
        </w:rPr>
        <w:t>二、国际非共识颠覆性技术资助模式</w:t>
      </w:r>
    </w:p>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世界主要科技强国已探索并建立了多种资助非共识颠覆性技术的模式，各有侧重和特色。</w:t>
      </w:r>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（一）美国DARPA模式：任务驱动、项目经理制、“海尔梅尔灵魂之问”</w:t>
      </w:r>
    </w:p>
    <w:p w14:paraId="0000001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使命与理念：美国国防高级研究计划局（DARPA）的核心使命是为美国国家安全创造技术突袭，并防止对手的技术突袭。其明确目标是开发改变游戏规则的、革命性的技术，而非渐进式改进。高风险、高回报是其核心理念。</w:t>
      </w:r>
    </w:p>
    <w:p w14:paraId="0000001E">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结构与管理：作为国防部下属的小型、灵活机构，DARPA模式的核心是其项目经理（Program Managers,PMs）。约100名来自学术界和工业界的顶尖专家被聘用，任期有限（通常3-5年），他们被赋予极大的自主权，负责构思、定义、资助和监督研究项目。PMs不断探寻“下一个重大突破”，遵循“有限管理”原则，但需“全程参与”项目。</w:t>
      </w:r>
    </w:p>
    <w:p w14:paraId="0000001F">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资助机制：DARPA拥有一套多样化的资助工具箱，包括持续多年的大型研究项目、旨在吸引非传统创新者的“挑战赛”（奖金可达1000万美元）、用于培育早期高风险概念的“种子”项目（Seedlings，将概念从“难以置信”推进到“仅仅存疑”）、加速从概念到资助过程的“探索”项目（Explorations），以及通过“颠覆工程”（Disruptioneering）机制快速验证新兴技术的“颠覆机遇”（Disruption Opportunities，DOs，通常在120天内完成资助决策）。此外，DARPA也利用小企业创新研究（SBIR）和小企业技术转移（STTR）计划，并广泛使用合同（Contracts）以确保研究成果符合国防需求。其年度预算约为40亿美元。</w:t>
      </w:r>
    </w:p>
    <w:p w14:paraId="00000020">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评估方式：项目遴选在很大程度上依赖于PM的专业判断和视野，并广泛使用“海尔梅尔灵魂之问”（Heilmeier Catechism）。这是一套由前局长George Heilmeier制定的包含8个问题的评估框架，旨在全面审视项目的目标、现状局限、方法创新性、重要性（“谁在乎？”）、风险、成本、时间以及成功标准。评估重点是突破潜力，而非仅仅是技术可行性。</w:t>
      </w:r>
    </w:p>
    <w:p w14:paraId="00000021">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成果转化：DARPA主要关注概念验证和原型开发，技术的后续实施、转移和商业化则由军方或其他合作伙伴主导。许多成功的DARPA项目最终转化为军事能力或民用技术。</w:t>
      </w: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（二）美国ARPA-E模式：能源聚焦、技术到市场、资助机制</w:t>
      </w:r>
    </w:p>
    <w:p w14:paraId="00000023">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使命与理念：能源部高级研究计划署（ARPA-E）旨在资助先进能源技术的研发，以提升美国的经济繁荣、国家安全和环境福祉。其模式受到DARPA的启发，专注于能源领域，特别是那些因风险过高而工业界不太可能独立投入的领域。ARPA-E支持有勇气和信念将变革性想法变为现实的大胆思考者。</w:t>
      </w:r>
    </w:p>
    <w:p w14:paraId="00000024">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结构与管理：作为能源部内部机构，ARPA-E力求组织扁平、灵活、精简。项目主任（Program Directors）基于技术研讨会、技术本身的创新性（“技术推动”）和市场潜力及成本效益（“市场拉动”）来创建和管理项目。</w:t>
      </w:r>
    </w:p>
    <w:p w14:paraId="00000025">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资助机制：主要通过发布资助机会公告（Funding Opportunity Announcements,FOAs）来征集项目建议。提供非稀释性资助（non-dilutive funding），使受资助者能保留股权。设有IDEAS（能源相关应用科学创新发展）计划，用于快速支持探索性的早期概念研究（最长1年，最高50万美元）。</w:t>
      </w:r>
    </w:p>
    <w:p w14:paraId="00000026">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评估方式：采用同行评议，但其独特之处在于允许申请人在最终资助决策前阅读评审意见并提交反驳（rebuttal），以澄清疑问，帮助机构做出更明智的决策。评估侧重于技术的变革潜力，综合考量技术推动和市场拉动因素。</w:t>
      </w:r>
    </w:p>
    <w:p w14:paraId="00000027">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成果转化：非常重视“技术到市场”（Technology-to-Market,T2M）转化。专门的T2M团队利用行业和技术情报，帮助项目团队制定和执行商业化计划，促进与产业界和政府的互动。ARPA-E追踪项目的商业影响，包括后续私人投资、新公司成立、与其他政府机构的合作、专利以及并购或上市等退出事件。</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（三）欧盟ERC模式：前沿研究、科学卓越、资助结构</w:t>
      </w:r>
    </w:p>
    <w:p w14:paraId="00000029">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使命与理念：欧洲研究理事会（ERC）旨在支持由研究者驱动的、覆盖所有学科领域的“前沿研究”（frontier research），其唯一的评判标准是科学卓越性（scientific excellence）。ERC鼓励高风险/高回报、跨学科、非传统的研究方法，遵循“霍尔丹原则”（Haldane principle），即由学术好奇心驱动，在项目申请时不评估其潜在影响。目标是资助欧洲最优秀、最具创造力的科学家和想法。</w:t>
      </w:r>
    </w:p>
    <w:p w14:paraId="0000002A">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结构与管理：是欧盟研究与创新框架计划（如Horizon Europe，前身为H2020）下的泛欧资助机构。由独立的科学委员会管理，依赖于25个同行评议专家组（panels）进行项目评审。</w:t>
      </w:r>
    </w:p>
    <w:p w14:paraId="0000002B">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资助机制：提供多种面向不同职业生涯阶段研究者的长期资助：启动基金（Starting Grants,StG，博士后2-7年，最高150万欧元）、巩固基金（Consolidator Grants,CoG，博士后7-12年，最高200万欧元）、高级基金（Advanced Grants,AdG，面向已建立领导地位的研究者，最高250万欧元）、以及支持2-4名首席研究员（PIs）开展跨学科合作的协同基金（Synergy Grants,SyG，最高1000万欧元）。此外，还为现有ERC获得者提供概念验证基金（Proof of Concept,PoC，最高15万欧元），以探索其研究成果的商业化潜力。</w:t>
      </w:r>
    </w:p>
    <w:p w14:paraId="0000002C">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评估方式：唯一的评估标准是科学卓越性，同时考量首席研究员（PI）的智力、创造力和过往成就，以及研究项目本身的开创性、雄心和可行性。高风险/高回报是受鼓励的项目特征，并在项目完成后的评估中被认为是产出突破性成果的有利因素，尽管可能不再是明确的评估问题之一。评估采用叙述性简历（narrative CV）格式，不鼓励使用期刊影响因子（JIF）等量化指标。评估过程包括专家组评审，部分项目类型还包括面试环节。</w:t>
      </w:r>
    </w:p>
    <w:p w14:paraId="0000002D">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成果转化：在初始资助阶段对转化的强调相对较弱。PoC基金是专门的转化支持机制。但事后分析表明，ERC资助产生了显著的商业化活动，如专利授权和初创公司建立，尤其是在获得PoC资助的研究者中比例更高。</w:t>
      </w: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（四）英国ARIA模式：高风险聚焦、自主性、项目主任</w:t>
      </w:r>
    </w:p>
    <w:p w14:paraId="0000002F">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使命与理念：英国高级研究与发明局（ARIA）旨在解锁能惠及所有人的科学和技术突破。其核心是资助高风险、高回报的研究。模式受到DARPA启发，但不涉及军事应用。ARIA致力于赋予科学家和工程师资源和自由，去追求“可能性边缘”的突破，并坦然接受许多项目可能会失败的现实。</w:t>
      </w:r>
    </w:p>
    <w:p w14:paraId="00000030">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结构与管理：是一个独立的非法定公共机构（non-departmental public body），隶属于科学、创新和技术部（DSIT）。设计上强调高度自主权和运作速度，旨在减少官僚约束。由首席执行官（Ilan Gur）和主席（Matt Clifford）领导，董事会成员包括诺奖得主等知名人士。依赖项目主任（Programme Directors）来定义“机遇空间”（opportunity spaces）并指导资助方向。该机构豁免于《信息自由法》的约束，引发了关于公共资金使用透明度的担忧。</w:t>
      </w:r>
    </w:p>
    <w:p w14:paraId="00000031">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资助机制：初始预算为8亿英镑（2023-2028年）。主要通过两种模式运作：一是大型的“项目”（Programs，规模约5000-8000万英镑），旨在推动跨学科、跨机构协调投资的复杂构想；二是“机遇种子”（Opportunity Seeds），提供较小额资助（最高50万英镑），用于在特定机遇空间内探索新路径、挑战假设。可能采用股权投资、奖金等创新资助机制。</w:t>
      </w:r>
    </w:p>
    <w:p w14:paraId="00000032">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评估方式：主要由项目主任的视野和对机遇空间内潜力的判断驱动。种子基金征集明确寻找能够挑战假设、开辟新研究路径的项目。评估强调产生范式转变的潜力。</w:t>
      </w:r>
    </w:p>
    <w:p w14:paraId="00000033">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成果转化：文件中细节不多，但其目标是实现“突破性技术”，意味着最终目标是产生研究之外的影响。提及设立“激活伙伴”（Activation Partners）以通过科学创业推动进展。</w:t>
      </w: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（五）日本Moonshot计划：宏大挑战、组合管理</w:t>
      </w:r>
    </w:p>
    <w:p w14:paraId="00000035">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使命与理念：日本“Moonshot研发计划”旨在创造源自日本的颠覆性创新，以应对重大的社会挑战，如人口老龄化、气候变化、自然灾害等。计划推动基于革命性概念的、雄心勃勃的、非传统技术延伸的挑战性研发，聚焦高风险、高影响力的研究。</w:t>
      </w:r>
    </w:p>
    <w:p w14:paraId="00000036">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结构与管理：是一个跨部门协调的项目，涉及内阁府（CSTI）、相关省厅（文部科学省MEXT、经济产业省METI等）以及多个资助机构（JST、NEDO、AMED、BRAIN）。采用项目总监（Program Directors,PDs）负责管理项目组合，项目经理负责领导具体项目。设立战略推进会议进行协调。</w:t>
      </w:r>
    </w:p>
    <w:p w14:paraId="00000037">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资助机制：设立了大规模的专门基金（初始1000亿日元，至2023年已增长至约4100亿日元）。资金用于支持与特定“Moonshot目标”相关的研发项目，这些目标非常宏大且着眼于2050年，例如克服身体、大脑、时空限制；自主学习进化并与人共存的AI机器人；容错通用量子计算机；通过控制天气实现免受极端风雨威胁的社会；利用聚变能源实现与环境和谐且无资源限制的社会等。计划强调国际合作。</w:t>
      </w:r>
    </w:p>
    <w:p w14:paraId="00000038">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评估方式：采用项目组合管理方法，通过阶段性关卡（stage-gates）灵活评估进展。鼓励“不畏失败”地进行挑战性研发。通过公开征集等方式遴选PM。目标是加速研发成果应用。</w:t>
      </w:r>
    </w:p>
    <w:p w14:paraId="00000039">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成果转化：明确目标是加速成果在社会中的实际应用。构建国际合作、推动社会实施和衍生公司（spinouts）是计划面临的主要挑战。</w:t>
      </w: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分析这些国际模式可以发现，“ARPA模式”（即强调赋权的项目经理、灵活性和任务导向）已被全球多国复制和调整（如ARPA-E、ARIA，可能也影响了Moonshot的PD/PM结构以及中国的新项目），这表明该模式在驱动目标明确的、市场失灵显著领域的颠覆性创新方面被认为是有效的。这些领域通常包括国防、能源和重大社会挑战。</w:t>
      </w: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同时，这些模式也揭示了一种根本性的分歧：一类是以美国、英国、日本为代表，强调通过项目经理或项目总监来设定目标和方向的“项目式指导”；另一类是以欧盟ERC为代表，强调基于同行认可的卓越性标准、由研究者自主驱动的“探索式研究”。两者都旨在催生突破，但出发点不同，这可能导致它们所资助的突破性成果在类型上有所差异。</w:t>
      </w: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Google Sans Text"/>
          <w:b w:val="0"/>
          <w:i w:val="0"/>
          <w:color w:val="1B1C1D"/>
          <w:sz w:val="32"/>
          <w:szCs w:val="24"/>
          <w:rtl w:val="0"/>
        </w:rPr>
        <w:sectPr>
          <w:pgSz w:w="12240" w:h="15840"/>
          <w:pgMar w:top="2098" w:right="1474" w:bottom="1984" w:left="1587" w:header="0" w:footer="720" w:gutter="0"/>
          <w:pgNumType w:start="1"/>
          <w:cols w:space="720" w:num="1"/>
        </w:sectPr>
      </w:pPr>
      <w:r>
        <w:rPr>
          <w:rFonts w:ascii="仿宋_GB2312" w:hAnsi="仿宋_GB2312" w:eastAsia="仿宋_GB2312" w:cs="Google Sans Text"/>
          <w:b w:val="0"/>
          <w:i w:val="0"/>
          <w:color w:val="1B1C1D"/>
          <w:sz w:val="32"/>
          <w:szCs w:val="24"/>
          <w:rtl w:val="0"/>
        </w:rPr>
        <w:t>尽管高风险容忍度是普遍特征，但管理风险的具体机制各不相同。这包括通过项目组合来分散风险（隐含在PM/PD管理大量项目的模式中）、设置阶段性评审关卡（如Moonshot和中国的动态评估）、快速种子基金验证（如DARPA的Disruptioneering、ARIA的Seeds），以及为降低风险提供专门的后续资助（如ERC的PoC）。这些不同的工具反映了不同的运作风格和可能优先支持的创新生命周期阶段。</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jc w:val="center"/>
        <w:textAlignment w:val="auto"/>
        <w:rPr>
          <w:rFonts w:ascii="Google Sans Text" w:hAnsi="Google Sans Text" w:eastAsia="Google Sans Text" w:cs="Google Sans Text"/>
          <w:b/>
          <w:i w:val="0"/>
          <w:color w:val="1B1C1D"/>
          <w:sz w:val="24"/>
          <w:szCs w:val="24"/>
        </w:rPr>
      </w:pPr>
      <w:r>
        <w:rPr>
          <w:rFonts w:ascii="仿宋_GB2312" w:hAnsi="仿宋_GB2312" w:eastAsia="仿宋_GB2312" w:cs="Google Sans Text"/>
          <w:b w:val="0"/>
          <w:i w:val="0"/>
          <w:color w:val="1B1C1D"/>
          <w:sz w:val="32"/>
          <w:szCs w:val="24"/>
          <w:rtl w:val="0"/>
        </w:rPr>
        <w:t>表1：国际主要非共识颠覆性技术资助机构模式对比</w:t>
      </w:r>
    </w:p>
    <w:tbl>
      <w:tblPr>
        <w:tblStyle w:val="13"/>
        <w:tblW w:w="13186"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239"/>
        <w:gridCol w:w="1101"/>
        <w:gridCol w:w="1477"/>
        <w:gridCol w:w="1211"/>
        <w:gridCol w:w="2000"/>
        <w:gridCol w:w="1614"/>
        <w:gridCol w:w="2597"/>
        <w:gridCol w:w="1947"/>
      </w:tblGrid>
      <w:tr w14:paraId="043640C8">
        <w:tc>
          <w:tcPr>
            <w:tcW w:w="123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b/>
                <w:i w:val="0"/>
                <w:color w:val="1B1C1D"/>
                <w:sz w:val="21"/>
                <w:szCs w:val="21"/>
                <w:shd w:val="clear" w:fill="auto"/>
              </w:rPr>
            </w:pPr>
            <w:r>
              <w:rPr>
                <w:rFonts w:hint="eastAsia" w:ascii="仿宋_GB2312" w:hAnsi="仿宋_GB2312" w:eastAsia="仿宋_GB2312" w:cs="仿宋_GB2312"/>
                <w:b/>
                <w:i w:val="0"/>
                <w:color w:val="1B1C1D"/>
                <w:sz w:val="21"/>
                <w:szCs w:val="21"/>
                <w:shd w:val="clear" w:fill="auto"/>
                <w:rtl w:val="0"/>
              </w:rPr>
              <w:t>机构名称</w:t>
            </w:r>
          </w:p>
        </w:tc>
        <w:tc>
          <w:tcPr>
            <w:tcW w:w="1101"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b/>
                <w:i w:val="0"/>
                <w:color w:val="1B1C1D"/>
                <w:sz w:val="21"/>
                <w:szCs w:val="21"/>
                <w:shd w:val="clear" w:fill="auto"/>
              </w:rPr>
            </w:pPr>
            <w:r>
              <w:rPr>
                <w:rFonts w:hint="eastAsia" w:ascii="仿宋_GB2312" w:hAnsi="仿宋_GB2312" w:eastAsia="仿宋_GB2312" w:cs="仿宋_GB2312"/>
                <w:b/>
                <w:i w:val="0"/>
                <w:color w:val="1B1C1D"/>
                <w:sz w:val="21"/>
                <w:szCs w:val="21"/>
                <w:shd w:val="clear" w:fill="auto"/>
                <w:rtl w:val="0"/>
              </w:rPr>
              <w:t>国家/地区</w:t>
            </w:r>
          </w:p>
        </w:tc>
        <w:tc>
          <w:tcPr>
            <w:tcW w:w="147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b/>
                <w:i w:val="0"/>
                <w:color w:val="1B1C1D"/>
                <w:sz w:val="21"/>
                <w:szCs w:val="21"/>
                <w:shd w:val="clear" w:fill="auto"/>
              </w:rPr>
            </w:pPr>
            <w:r>
              <w:rPr>
                <w:rFonts w:hint="eastAsia" w:ascii="仿宋_GB2312" w:hAnsi="仿宋_GB2312" w:eastAsia="仿宋_GB2312" w:cs="仿宋_GB2312"/>
                <w:b/>
                <w:i w:val="0"/>
                <w:color w:val="1B1C1D"/>
                <w:sz w:val="21"/>
                <w:szCs w:val="21"/>
                <w:shd w:val="clear" w:fill="auto"/>
                <w:rtl w:val="0"/>
              </w:rPr>
              <w:t>主要目标</w:t>
            </w:r>
          </w:p>
        </w:tc>
        <w:tc>
          <w:tcPr>
            <w:tcW w:w="1211"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b/>
                <w:i w:val="0"/>
                <w:color w:val="1B1C1D"/>
                <w:sz w:val="21"/>
                <w:szCs w:val="21"/>
                <w:shd w:val="clear" w:fill="auto"/>
              </w:rPr>
            </w:pPr>
            <w:r>
              <w:rPr>
                <w:rFonts w:hint="eastAsia" w:ascii="仿宋_GB2312" w:hAnsi="仿宋_GB2312" w:eastAsia="仿宋_GB2312" w:cs="仿宋_GB2312"/>
                <w:b/>
                <w:i w:val="0"/>
                <w:color w:val="1B1C1D"/>
                <w:sz w:val="21"/>
                <w:szCs w:val="21"/>
                <w:shd w:val="clear" w:fill="auto"/>
                <w:rtl w:val="0"/>
              </w:rPr>
              <w:t>资助哲学</w:t>
            </w:r>
          </w:p>
        </w:tc>
        <w:tc>
          <w:tcPr>
            <w:tcW w:w="20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b/>
                <w:i w:val="0"/>
                <w:color w:val="1B1C1D"/>
                <w:sz w:val="21"/>
                <w:szCs w:val="21"/>
                <w:shd w:val="clear" w:fill="auto"/>
              </w:rPr>
            </w:pPr>
            <w:r>
              <w:rPr>
                <w:rFonts w:hint="eastAsia" w:ascii="仿宋_GB2312" w:hAnsi="仿宋_GB2312" w:eastAsia="仿宋_GB2312" w:cs="仿宋_GB2312"/>
                <w:b/>
                <w:i w:val="0"/>
                <w:color w:val="1B1C1D"/>
                <w:sz w:val="21"/>
                <w:szCs w:val="21"/>
                <w:shd w:val="clear" w:fill="auto"/>
                <w:rtl w:val="0"/>
              </w:rPr>
              <w:t>关键结构特征</w:t>
            </w:r>
          </w:p>
        </w:tc>
        <w:tc>
          <w:tcPr>
            <w:tcW w:w="16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b/>
                <w:i w:val="0"/>
                <w:color w:val="1B1C1D"/>
                <w:sz w:val="21"/>
                <w:szCs w:val="21"/>
                <w:shd w:val="clear" w:fill="auto"/>
              </w:rPr>
            </w:pPr>
            <w:r>
              <w:rPr>
                <w:rFonts w:hint="eastAsia" w:ascii="仿宋_GB2312" w:hAnsi="仿宋_GB2312" w:eastAsia="仿宋_GB2312" w:cs="仿宋_GB2312"/>
                <w:b/>
                <w:i w:val="0"/>
                <w:color w:val="1B1C1D"/>
                <w:sz w:val="21"/>
                <w:szCs w:val="21"/>
                <w:shd w:val="clear" w:fill="auto"/>
                <w:rtl w:val="0"/>
              </w:rPr>
              <w:t>预算规模（约）</w:t>
            </w:r>
          </w:p>
        </w:tc>
        <w:tc>
          <w:tcPr>
            <w:tcW w:w="259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b/>
                <w:i w:val="0"/>
                <w:color w:val="1B1C1D"/>
                <w:sz w:val="21"/>
                <w:szCs w:val="21"/>
                <w:shd w:val="clear" w:fill="auto"/>
              </w:rPr>
            </w:pPr>
            <w:r>
              <w:rPr>
                <w:rFonts w:hint="eastAsia" w:ascii="仿宋_GB2312" w:hAnsi="仿宋_GB2312" w:eastAsia="仿宋_GB2312" w:cs="仿宋_GB2312"/>
                <w:b/>
                <w:i w:val="0"/>
                <w:color w:val="1B1C1D"/>
                <w:sz w:val="21"/>
                <w:szCs w:val="21"/>
                <w:shd w:val="clear" w:fill="auto"/>
                <w:rtl w:val="0"/>
              </w:rPr>
              <w:t>主要资助机制</w:t>
            </w:r>
          </w:p>
        </w:tc>
        <w:tc>
          <w:tcPr>
            <w:tcW w:w="194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b/>
                <w:i w:val="0"/>
                <w:color w:val="1B1C1D"/>
                <w:sz w:val="21"/>
                <w:szCs w:val="21"/>
                <w:shd w:val="clear" w:fill="auto"/>
              </w:rPr>
            </w:pPr>
            <w:r>
              <w:rPr>
                <w:rFonts w:hint="eastAsia" w:ascii="仿宋_GB2312" w:hAnsi="仿宋_GB2312" w:eastAsia="仿宋_GB2312" w:cs="仿宋_GB2312"/>
                <w:b/>
                <w:i w:val="0"/>
                <w:color w:val="1B1C1D"/>
                <w:sz w:val="21"/>
                <w:szCs w:val="21"/>
                <w:shd w:val="clear" w:fill="auto"/>
                <w:rtl w:val="0"/>
              </w:rPr>
              <w:t>评估标志</w:t>
            </w:r>
          </w:p>
        </w:tc>
      </w:tr>
      <w:tr w14:paraId="43265B87">
        <w:tc>
          <w:tcPr>
            <w:tcW w:w="123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DARPA</w:t>
            </w:r>
          </w:p>
        </w:tc>
        <w:tc>
          <w:tcPr>
            <w:tcW w:w="1101"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美国</w:t>
            </w:r>
          </w:p>
        </w:tc>
        <w:tc>
          <w:tcPr>
            <w:tcW w:w="147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国家安全技术突袭</w:t>
            </w:r>
          </w:p>
        </w:tc>
        <w:tc>
          <w:tcPr>
            <w:tcW w:w="1211"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任务驱动</w:t>
            </w:r>
          </w:p>
        </w:tc>
        <w:tc>
          <w:tcPr>
            <w:tcW w:w="20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项目经理</w:t>
            </w:r>
          </w:p>
        </w:tc>
        <w:tc>
          <w:tcPr>
            <w:tcW w:w="16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575B5F"/>
                <w:sz w:val="21"/>
                <w:szCs w:val="21"/>
                <w:vertAlign w:val="superscript"/>
              </w:rPr>
            </w:pPr>
            <w:r>
              <w:rPr>
                <w:rFonts w:hint="eastAsia" w:ascii="仿宋_GB2312" w:hAnsi="仿宋_GB2312" w:eastAsia="仿宋_GB2312" w:cs="仿宋_GB2312"/>
                <w:i w:val="0"/>
                <w:color w:val="1B1C1D"/>
                <w:sz w:val="21"/>
                <w:szCs w:val="21"/>
                <w:shd w:val="clear" w:fill="auto"/>
                <w:rtl w:val="0"/>
              </w:rPr>
              <w:t>~$40亿/年</w:t>
            </w:r>
          </w:p>
        </w:tc>
        <w:tc>
          <w:tcPr>
            <w:tcW w:w="259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合同、挑战赛、种子基金、探索项目、Disruptioneering</w:t>
            </w:r>
          </w:p>
        </w:tc>
        <w:tc>
          <w:tcPr>
            <w:tcW w:w="194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海尔梅尔灵魂之问</w:t>
            </w:r>
          </w:p>
        </w:tc>
      </w:tr>
      <w:tr w14:paraId="50237E16">
        <w:tc>
          <w:tcPr>
            <w:tcW w:w="123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ARPA-E</w:t>
            </w:r>
          </w:p>
        </w:tc>
        <w:tc>
          <w:tcPr>
            <w:tcW w:w="1101"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美国</w:t>
            </w:r>
          </w:p>
        </w:tc>
        <w:tc>
          <w:tcPr>
            <w:tcW w:w="147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先进能源技术研发与转化</w:t>
            </w:r>
          </w:p>
        </w:tc>
        <w:tc>
          <w:tcPr>
            <w:tcW w:w="1211"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任务驱动（能源）</w:t>
            </w:r>
          </w:p>
        </w:tc>
        <w:tc>
          <w:tcPr>
            <w:tcW w:w="20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项目主任（PDs）、T2M团队</w:t>
            </w:r>
          </w:p>
        </w:tc>
        <w:tc>
          <w:tcPr>
            <w:tcW w:w="16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575B5F"/>
                <w:sz w:val="21"/>
                <w:szCs w:val="21"/>
                <w:vertAlign w:val="superscript"/>
              </w:rPr>
            </w:pPr>
            <w:r>
              <w:rPr>
                <w:rFonts w:hint="eastAsia" w:ascii="仿宋_GB2312" w:hAnsi="仿宋_GB2312" w:eastAsia="仿宋_GB2312" w:cs="仿宋_GB2312"/>
                <w:i w:val="0"/>
                <w:color w:val="1B1C1D"/>
                <w:sz w:val="21"/>
                <w:szCs w:val="21"/>
                <w:shd w:val="clear" w:fill="auto"/>
                <w:rtl w:val="0"/>
              </w:rPr>
              <w:t>~$4亿/年（初期）</w:t>
            </w:r>
          </w:p>
        </w:tc>
        <w:tc>
          <w:tcPr>
            <w:tcW w:w="259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资助协议（FOAs）、IDEAS计划</w:t>
            </w:r>
          </w:p>
        </w:tc>
        <w:tc>
          <w:tcPr>
            <w:tcW w:w="194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技术推动+市场拉动、申请人反驳机制</w:t>
            </w:r>
          </w:p>
        </w:tc>
      </w:tr>
      <w:tr w14:paraId="68060C02">
        <w:tc>
          <w:tcPr>
            <w:tcW w:w="123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ERC</w:t>
            </w:r>
          </w:p>
        </w:tc>
        <w:tc>
          <w:tcPr>
            <w:tcW w:w="1101"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欧盟</w:t>
            </w:r>
          </w:p>
        </w:tc>
        <w:tc>
          <w:tcPr>
            <w:tcW w:w="147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前沿科学研究领导力</w:t>
            </w:r>
          </w:p>
        </w:tc>
        <w:tc>
          <w:tcPr>
            <w:tcW w:w="1211"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研究者驱动</w:t>
            </w:r>
          </w:p>
        </w:tc>
        <w:tc>
          <w:tcPr>
            <w:tcW w:w="20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科学委员会、同行评议专家组</w:t>
            </w:r>
          </w:p>
        </w:tc>
        <w:tc>
          <w:tcPr>
            <w:tcW w:w="16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575B5F"/>
                <w:sz w:val="21"/>
                <w:szCs w:val="21"/>
                <w:vertAlign w:val="superscript"/>
              </w:rPr>
            </w:pPr>
            <w:r>
              <w:rPr>
                <w:rFonts w:hint="eastAsia" w:ascii="仿宋_GB2312" w:hAnsi="仿宋_GB2312" w:eastAsia="仿宋_GB2312" w:cs="仿宋_GB2312"/>
                <w:i w:val="0"/>
                <w:color w:val="1B1C1D"/>
                <w:sz w:val="21"/>
                <w:szCs w:val="21"/>
                <w:shd w:val="clear" w:fill="auto"/>
                <w:rtl w:val="0"/>
              </w:rPr>
              <w:t>~€130亿/7年（H2020）</w:t>
            </w:r>
          </w:p>
        </w:tc>
        <w:tc>
          <w:tcPr>
            <w:tcW w:w="259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启动/巩固/高级/协同基金、PoC基金（均为拨款）</w:t>
            </w:r>
          </w:p>
        </w:tc>
        <w:tc>
          <w:tcPr>
            <w:tcW w:w="194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科学卓越性（PI+项目）</w:t>
            </w:r>
          </w:p>
        </w:tc>
      </w:tr>
      <w:tr w14:paraId="62EAEAB9">
        <w:tc>
          <w:tcPr>
            <w:tcW w:w="123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ARIA</w:t>
            </w:r>
          </w:p>
        </w:tc>
        <w:tc>
          <w:tcPr>
            <w:tcW w:w="1101"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英国</w:t>
            </w:r>
          </w:p>
        </w:tc>
        <w:tc>
          <w:tcPr>
            <w:tcW w:w="147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科学技术突破</w:t>
            </w:r>
          </w:p>
        </w:tc>
        <w:tc>
          <w:tcPr>
            <w:tcW w:w="1211"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任务驱动（广泛领域）</w:t>
            </w:r>
          </w:p>
        </w:tc>
        <w:tc>
          <w:tcPr>
            <w:tcW w:w="20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项目主任（PDs）、高度自主性</w:t>
            </w:r>
          </w:p>
        </w:tc>
        <w:tc>
          <w:tcPr>
            <w:tcW w:w="16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575B5F"/>
                <w:sz w:val="21"/>
                <w:szCs w:val="21"/>
                <w:vertAlign w:val="superscript"/>
              </w:rPr>
            </w:pPr>
            <w:r>
              <w:rPr>
                <w:rFonts w:hint="eastAsia" w:ascii="仿宋_GB2312" w:hAnsi="仿宋_GB2312" w:eastAsia="仿宋_GB2312" w:cs="仿宋_GB2312"/>
                <w:i w:val="0"/>
                <w:color w:val="1B1C1D"/>
                <w:sz w:val="21"/>
                <w:szCs w:val="21"/>
                <w:shd w:val="clear" w:fill="auto"/>
                <w:rtl w:val="0"/>
              </w:rPr>
              <w:t>£8亿/5年</w:t>
            </w:r>
          </w:p>
        </w:tc>
        <w:tc>
          <w:tcPr>
            <w:tcW w:w="259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项目基金、机遇种子基金、可能含奖金/股权</w:t>
            </w:r>
          </w:p>
        </w:tc>
        <w:tc>
          <w:tcPr>
            <w:tcW w:w="194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项目主任判断、潜力评估</w:t>
            </w:r>
          </w:p>
        </w:tc>
      </w:tr>
      <w:tr w14:paraId="1B9575A1">
        <w:tc>
          <w:tcPr>
            <w:tcW w:w="1239"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Moonshot</w:t>
            </w:r>
          </w:p>
        </w:tc>
        <w:tc>
          <w:tcPr>
            <w:tcW w:w="1101"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日本</w:t>
            </w:r>
          </w:p>
        </w:tc>
        <w:tc>
          <w:tcPr>
            <w:tcW w:w="147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解决重大社会挑战</w:t>
            </w:r>
          </w:p>
        </w:tc>
        <w:tc>
          <w:tcPr>
            <w:tcW w:w="1211"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任务驱动（宏大目标）</w:t>
            </w:r>
          </w:p>
        </w:tc>
        <w:tc>
          <w:tcPr>
            <w:tcW w:w="200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项目总监（PDs）+项目经理（PMs）、跨部门协调</w:t>
            </w:r>
          </w:p>
        </w:tc>
        <w:tc>
          <w:tcPr>
            <w:tcW w:w="161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575B5F"/>
                <w:sz w:val="21"/>
                <w:szCs w:val="21"/>
                <w:vertAlign w:val="superscript"/>
              </w:rPr>
            </w:pPr>
            <w:r>
              <w:rPr>
                <w:rFonts w:hint="eastAsia" w:ascii="仿宋_GB2312" w:hAnsi="仿宋_GB2312" w:eastAsia="仿宋_GB2312" w:cs="仿宋_GB2312"/>
                <w:i w:val="0"/>
                <w:color w:val="1B1C1D"/>
                <w:sz w:val="21"/>
                <w:szCs w:val="21"/>
                <w:shd w:val="clear" w:fill="auto"/>
                <w:rtl w:val="0"/>
              </w:rPr>
              <w:t>~¥4100亿基金（累计至2023）</w:t>
            </w:r>
          </w:p>
        </w:tc>
        <w:tc>
          <w:tcPr>
            <w:tcW w:w="259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针对目标的研发项目资助</w:t>
            </w:r>
          </w:p>
        </w:tc>
        <w:tc>
          <w:tcPr>
            <w:tcW w:w="1947"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组合管理、阶段性评估</w:t>
            </w:r>
          </w:p>
        </w:tc>
      </w:tr>
    </w:tbl>
    <w:p w14:paraId="5319A2DF">
      <w:pPr>
        <w:rPr>
          <w:rFonts w:ascii="黑体" w:hAnsi="黑体" w:eastAsia="黑体"/>
          <w:b w:val="0"/>
          <w:sz w:val="32"/>
        </w:rPr>
      </w:pPr>
      <w:r>
        <w:rPr>
          <w:rFonts w:ascii="黑体" w:hAnsi="黑体" w:eastAsia="黑体"/>
          <w:b w:val="0"/>
          <w:sz w:val="32"/>
        </w:rPr>
        <w:br w:type="page"/>
      </w:r>
    </w:p>
    <w:p w14:paraId="67166C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黑体" w:hAnsi="黑体" w:eastAsia="黑体"/>
          <w:b w:val="0"/>
          <w:sz w:val="32"/>
        </w:rPr>
        <w:sectPr>
          <w:pgSz w:w="15840" w:h="12240" w:orient="landscape"/>
          <w:pgMar w:top="1587" w:right="2098" w:bottom="1474" w:left="1984" w:header="0" w:footer="720" w:gutter="0"/>
          <w:paperSrc/>
          <w:pgNumType w:start="1"/>
          <w:cols w:space="0" w:num="1"/>
          <w:rtlGutter w:val="0"/>
          <w:docGrid w:linePitch="0" w:charSpace="0"/>
        </w:sectPr>
      </w:pPr>
    </w:p>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b/>
          <w:i w:val="0"/>
          <w:color w:val="1B1C1D"/>
          <w:sz w:val="24"/>
          <w:szCs w:val="24"/>
        </w:rPr>
      </w:pPr>
      <w:r>
        <w:rPr>
          <w:rFonts w:ascii="黑体" w:hAnsi="黑体" w:eastAsia="黑体"/>
          <w:b w:val="0"/>
          <w:sz w:val="32"/>
        </w:rPr>
        <w:t>三、中国非共识颠覆性技术资助模式</w:t>
      </w:r>
    </w:p>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近年来，中国显著加强了对颠覆性技术的战略部署和资助体系建设，形成了多元化的渠道和模式。</w:t>
      </w:r>
    </w:p>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（一）国家重点研发计划“颠覆性技术创新”重点专项</w:t>
      </w:r>
    </w:p>
    <w:p w14:paraId="00000072">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目标定位：该专项旨在加速培育颠覆性技术创新，抢占科技战略制高点，催生新产业、新模式、新动能，发展新质生产力。服务于国家战略、经济主战场、国家重大需求和人民生命健康。</w:t>
      </w:r>
    </w:p>
    <w:p w14:paraId="00000073">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管理机制：作为科技计划管理改革的“试验田”，由科技部指导，委托专业机构（如京津冀国家技术创新中心、上海颠覆性技术创新中心）进行具体管理。</w:t>
      </w:r>
    </w:p>
    <w:p w14:paraId="00000074">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项目发现：采用开放、常态化的多渠道发现机制，包括：管理机构从文献、会议、榜单等主动发掘；公开发布指引征集项目建议；通过全国颠覆性技术创新大赛等赛事选拔；顶尖科学家、知名风投机构等网络节点推荐；以及国家和地方科技管理部门推荐。</w:t>
      </w:r>
    </w:p>
    <w:p w14:paraId="00000075">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申报流程：采取“线下辅导+正式申报”相结合的方式。项目单位先通过指定邮箱提交基本信息进行初筛，通过后，管理中心会同项目团队进行迭代优化式的论证，形成项目建议书，再通过国家科技管理信息系统进行正式申报。</w:t>
      </w:r>
    </w:p>
    <w:p w14:paraId="00000076">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项目要求：强调战略价值和技术突破。具体标准包括：应用场景</w:t>
      </w:r>
      <w:bookmarkStart w:id="0" w:name="_GoBack"/>
      <w:bookmarkEnd w:id="0"/>
      <w:r>
        <w:rPr>
          <w:rFonts w:ascii="仿宋_GB2312" w:hAnsi="仿宋_GB2312" w:eastAsia="仿宋_GB2312" w:cs="Google Sans Text"/>
          <w:b w:val="0"/>
          <w:i w:val="0"/>
          <w:color w:val="1B1C1D"/>
          <w:sz w:val="32"/>
          <w:szCs w:val="24"/>
          <w:rtl w:val="0"/>
        </w:rPr>
        <w:t>具有基础性、战略性或前瞻性（场景强）；拟解决的需求痛点重要且现有技术无法满足（需求刚）；技术路线具有显著优越性或瓦解潜力，且反颠覆门槛高（路线特）；拥有自主且独占性强的知识产权（产权独）。</w:t>
      </w:r>
    </w:p>
    <w:p w14:paraId="0000007A">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资助布局：定位为探索型、培育型专项，采取“育种-育苗-育材”的梯度布局：育种</w:t>
      </w:r>
      <w:r>
        <w:rPr>
          <w:rFonts w:hint="eastAsia" w:ascii="仿宋_GB2312" w:hAnsi="仿宋_GB2312" w:eastAsia="仿宋_GB2312" w:cs="Google Sans Text"/>
          <w:b w:val="0"/>
          <w:i w:val="0"/>
          <w:color w:val="1B1C1D"/>
          <w:sz w:val="32"/>
          <w:szCs w:val="24"/>
          <w:rtl w:val="0"/>
          <w:lang w:val="en-US" w:eastAsia="zh-CN"/>
        </w:rPr>
        <w:t>指</w:t>
      </w:r>
      <w:r>
        <w:rPr>
          <w:rFonts w:ascii="仿宋_GB2312" w:hAnsi="仿宋_GB2312" w:eastAsia="仿宋_GB2312" w:cs="Google Sans Text"/>
          <w:b w:val="0"/>
          <w:i w:val="0"/>
          <w:color w:val="1B1C1D"/>
          <w:sz w:val="32"/>
          <w:szCs w:val="24"/>
          <w:rtl w:val="0"/>
        </w:rPr>
        <w:t>基础研究初步完成，需在小试规模探索技术实现条件</w:t>
      </w:r>
      <w:r>
        <w:rPr>
          <w:rFonts w:hint="eastAsia" w:ascii="仿宋_GB2312" w:hAnsi="仿宋_GB2312" w:eastAsia="仿宋_GB2312" w:cs="Google Sans Text"/>
          <w:b w:val="0"/>
          <w:i w:val="0"/>
          <w:color w:val="1B1C1D"/>
          <w:sz w:val="32"/>
          <w:szCs w:val="24"/>
          <w:rtl w:val="0"/>
          <w:lang w:eastAsia="zh-CN"/>
        </w:rPr>
        <w:t>；</w:t>
      </w:r>
      <w:r>
        <w:rPr>
          <w:rFonts w:ascii="仿宋_GB2312" w:hAnsi="仿宋_GB2312" w:eastAsia="仿宋_GB2312" w:cs="Google Sans Text"/>
          <w:b w:val="0"/>
          <w:i w:val="0"/>
          <w:color w:val="1B1C1D"/>
          <w:sz w:val="32"/>
          <w:szCs w:val="24"/>
          <w:rtl w:val="0"/>
        </w:rPr>
        <w:t>育苗</w:t>
      </w:r>
      <w:r>
        <w:rPr>
          <w:rFonts w:hint="eastAsia" w:ascii="仿宋_GB2312" w:hAnsi="仿宋_GB2312" w:eastAsia="仿宋_GB2312" w:cs="Google Sans Text"/>
          <w:b w:val="0"/>
          <w:i w:val="0"/>
          <w:color w:val="1B1C1D"/>
          <w:sz w:val="32"/>
          <w:szCs w:val="24"/>
          <w:rtl w:val="0"/>
          <w:lang w:val="en-US" w:eastAsia="zh-CN"/>
        </w:rPr>
        <w:t>指</w:t>
      </w:r>
      <w:r>
        <w:rPr>
          <w:rFonts w:ascii="仿宋_GB2312" w:hAnsi="仿宋_GB2312" w:eastAsia="仿宋_GB2312" w:cs="Google Sans Text"/>
          <w:b w:val="0"/>
          <w:i w:val="0"/>
          <w:color w:val="1B1C1D"/>
          <w:sz w:val="32"/>
          <w:szCs w:val="24"/>
          <w:rtl w:val="0"/>
        </w:rPr>
        <w:t>需要进行中试放大和工程化研发</w:t>
      </w:r>
      <w:r>
        <w:rPr>
          <w:rFonts w:hint="eastAsia" w:ascii="仿宋_GB2312" w:hAnsi="仿宋_GB2312" w:eastAsia="仿宋_GB2312" w:cs="Google Sans Text"/>
          <w:b w:val="0"/>
          <w:i w:val="0"/>
          <w:color w:val="1B1C1D"/>
          <w:sz w:val="32"/>
          <w:szCs w:val="24"/>
          <w:rtl w:val="0"/>
          <w:lang w:eastAsia="zh-CN"/>
        </w:rPr>
        <w:t>；</w:t>
      </w:r>
      <w:r>
        <w:rPr>
          <w:rFonts w:ascii="仿宋_GB2312" w:hAnsi="仿宋_GB2312" w:eastAsia="仿宋_GB2312" w:cs="Google Sans Text"/>
          <w:b w:val="0"/>
          <w:i w:val="0"/>
          <w:color w:val="1B1C1D"/>
          <w:sz w:val="32"/>
          <w:szCs w:val="24"/>
          <w:rtl w:val="0"/>
        </w:rPr>
        <w:t>育材</w:t>
      </w:r>
      <w:r>
        <w:rPr>
          <w:rFonts w:hint="eastAsia" w:ascii="仿宋_GB2312" w:hAnsi="仿宋_GB2312" w:eastAsia="仿宋_GB2312" w:cs="Google Sans Text"/>
          <w:b w:val="0"/>
          <w:i w:val="0"/>
          <w:color w:val="1B1C1D"/>
          <w:sz w:val="32"/>
          <w:szCs w:val="24"/>
          <w:rtl w:val="0"/>
          <w:lang w:val="en-US" w:eastAsia="zh-CN"/>
        </w:rPr>
        <w:t>指</w:t>
      </w:r>
      <w:r>
        <w:rPr>
          <w:rFonts w:ascii="仿宋_GB2312" w:hAnsi="仿宋_GB2312" w:eastAsia="仿宋_GB2312" w:cs="Google Sans Text"/>
          <w:b w:val="0"/>
          <w:i w:val="0"/>
          <w:color w:val="1B1C1D"/>
          <w:sz w:val="32"/>
          <w:szCs w:val="24"/>
          <w:rtl w:val="0"/>
        </w:rPr>
        <w:t>需结合具体应用场景进行技术优化。采用定额资助方式，实施滚动支持、及时立项、动态优化。每个项目每期资助一般不超过2年。</w:t>
      </w:r>
    </w:p>
    <w:p w14:paraId="0000007B">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评估机制：专家实名推荐在筛选中是重要环节。评估标准彻底跳脱传统指标，不问出处、不设门槛、不唯过往业绩，摒弃跟随模仿。项目实施采用基于里程碑的节点检查和动态优化管理。项目专员深度参与过程管理，协调资源，优化方案。对进展不力或失去战略价值的项目及时终止。项目验收可采用同行评议、第三方测试、用户反馈等多种方式。建立了尽职免责机制，鼓励承担风险。</w:t>
      </w:r>
    </w:p>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（二）国家自然科学基金（NSFC）的角色：原创探索计划</w:t>
      </w:r>
    </w:p>
    <w:p w14:paraId="0000007D">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基本定位：</w:t>
      </w:r>
      <w:r>
        <w:rPr>
          <w:rFonts w:hint="eastAsia" w:ascii="仿宋_GB2312" w:hAnsi="仿宋_GB2312" w:eastAsia="仿宋_GB2312" w:cs="Google Sans Text"/>
          <w:b w:val="0"/>
          <w:i w:val="0"/>
          <w:color w:val="1B1C1D"/>
          <w:sz w:val="32"/>
          <w:szCs w:val="24"/>
          <w:rtl w:val="0"/>
          <w:lang w:val="en-US" w:eastAsia="zh-CN"/>
        </w:rPr>
        <w:t>国自然基金</w:t>
      </w:r>
      <w:r>
        <w:rPr>
          <w:rFonts w:ascii="仿宋_GB2312" w:hAnsi="仿宋_GB2312" w:eastAsia="仿宋_GB2312" w:cs="Google Sans Text"/>
          <w:b w:val="0"/>
          <w:i w:val="0"/>
          <w:color w:val="1B1C1D"/>
          <w:sz w:val="32"/>
          <w:szCs w:val="24"/>
          <w:rtl w:val="0"/>
        </w:rPr>
        <w:t>是中国支持基础研究的主渠道，肩负支持基础研究、培养人才、促进国际合作的使命。</w:t>
      </w:r>
    </w:p>
    <w:p w14:paraId="0000007E">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强调原创与风险：近年来，NSFC日益强调原创性，鼓励自由探索。设立了“原创探索计划项目”，旨在鼓励研究人员解放思想、大胆假设、认真求证，开展高风险的探索性研究，支持更多前沿探索。</w:t>
      </w:r>
    </w:p>
    <w:p w14:paraId="0000007F">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改革动向：NSFC正在持续推进改革，完善科学基金体系。在同行评议基础上，改进评审机制，强调评审人的“责任、信誉、贡献”。根据科学问题的四类属性（鼓励探索、突出原创；聚焦前沿、独辟蹊径；需求牵引、突破瓶颈；共性导向、交叉融通）优化资助布局和评审。适应科研范式变革，加强对青年人才和创新团队的稳定支持。</w:t>
      </w:r>
    </w:p>
    <w:p w14:paraId="00000080">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资助格局：NSFC整体资助额度显著增长。针对特定领域（如罕见病、肺癌）的资助分析显示投入增加，但资金分配与疾病负担的匹配度仍有优化空间（例如，相对于DALYs，卒中投入不足，白血病投入过多）。NSFC资助情况被视为衡量基础研究竞争力的一个指标。</w:t>
      </w:r>
    </w:p>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（三）地方政府举措（以上海为例）</w:t>
      </w:r>
    </w:p>
    <w:p w14:paraId="00000082">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firstLine="640" w:firstLineChars="200"/>
        <w:jc w:val="both"/>
        <w:textAlignment w:val="auto"/>
      </w:pPr>
      <w:r>
        <w:rPr>
          <w:rFonts w:ascii="仿宋_GB2312" w:hAnsi="仿宋_GB2312" w:eastAsia="仿宋_GB2312" w:cs="Google Sans Text"/>
          <w:b w:val="0"/>
          <w:i w:val="0"/>
          <w:color w:val="1B1C1D"/>
          <w:sz w:val="32"/>
          <w:szCs w:val="24"/>
          <w:rtl w:val="0"/>
        </w:rPr>
        <w:t>上海市设立了“颠覆性技术创新专项”，由作为国家颠覆性技术创新核心平台的上海颠覆性技术创新中心受市科委委托进行组织管理。</w:t>
      </w:r>
    </w:p>
    <w:p w14:paraId="00000083">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firstLine="640" w:firstLineChars="200"/>
        <w:jc w:val="both"/>
        <w:textAlignment w:val="auto"/>
      </w:pPr>
      <w:r>
        <w:rPr>
          <w:rFonts w:ascii="仿宋_GB2312" w:hAnsi="仿宋_GB2312" w:eastAsia="仿宋_GB2312" w:cs="Google Sans Text"/>
          <w:b w:val="0"/>
          <w:i w:val="0"/>
          <w:color w:val="1B1C1D"/>
          <w:sz w:val="32"/>
          <w:szCs w:val="24"/>
          <w:rtl w:val="0"/>
        </w:rPr>
        <w:t>机制特点：该专项在目标（服务国家和上海战略）、管理（中心负责）、项目发现（多渠道、常态化）、资助布局（育种、育苗、育材梯度，定额资助）和遴选机制（“边论证、边完善”的多轮遴选，项目专员跟进，专家论证，中心评议）等方面，与国家重点研发计划的颠覆性技术专项高度相似。其目标之一是为国家专项培育和储备项目，并推动成果在本地转化落地。</w:t>
      </w:r>
    </w:p>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（四）风险投资（VC）与政府引导基金在生态中的作用</w:t>
      </w:r>
    </w:p>
    <w:p w14:paraId="00000085">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firstLine="640" w:firstLineChars="200"/>
        <w:jc w:val="both"/>
        <w:textAlignment w:val="auto"/>
      </w:pPr>
      <w:r>
        <w:rPr>
          <w:rFonts w:ascii="仿宋_GB2312" w:hAnsi="仿宋_GB2312" w:eastAsia="仿宋_GB2312" w:cs="Google Sans Text"/>
          <w:b w:val="0"/>
          <w:i w:val="0"/>
          <w:color w:val="1B1C1D"/>
          <w:sz w:val="32"/>
          <w:szCs w:val="24"/>
          <w:rtl w:val="0"/>
        </w:rPr>
        <w:t>风险投资（VC）和私募股权（PE）已成为中国科技产业发展的重要助推器，尤其是在“硬科技”或“深科技”（通常指研发周期长、投入成本高的核心技术，如芯片、AI、机器人、新能源等）领域投资活跃。</w:t>
      </w:r>
    </w:p>
    <w:p w14:paraId="00000086">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firstLine="640" w:firstLineChars="200"/>
        <w:jc w:val="both"/>
        <w:textAlignment w:val="auto"/>
      </w:pPr>
      <w:r>
        <w:rPr>
          <w:rFonts w:ascii="仿宋_GB2312" w:hAnsi="仿宋_GB2312" w:eastAsia="仿宋_GB2312" w:cs="Google Sans Text"/>
          <w:b w:val="0"/>
          <w:i w:val="0"/>
          <w:color w:val="1B1C1D"/>
          <w:sz w:val="32"/>
          <w:szCs w:val="24"/>
          <w:rtl w:val="0"/>
        </w:rPr>
        <w:t>近年来，中国VC/PE市场的出资方结构发生显著变化，政府引导基金等国有资本（国资LP）强势崛起，逐步取代了早期以高净值个人、产业资本为主的格局。近期宣布设立的规模达万亿人民币（约1380亿美元）的国家级高科技基金，重点投向人工智能、半导体、量子计算、清洁能源等关键深科技领域。</w:t>
      </w:r>
    </w:p>
    <w:p w14:paraId="00000087">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firstLine="640" w:firstLineChars="200"/>
        <w:jc w:val="both"/>
        <w:textAlignment w:val="auto"/>
      </w:pPr>
      <w:r>
        <w:rPr>
          <w:rFonts w:ascii="仿宋_GB2312" w:hAnsi="仿宋_GB2312" w:eastAsia="仿宋_GB2312" w:cs="Google Sans Text"/>
          <w:b w:val="0"/>
          <w:i w:val="0"/>
          <w:color w:val="1B1C1D"/>
          <w:sz w:val="32"/>
          <w:szCs w:val="24"/>
          <w:rtl w:val="0"/>
        </w:rPr>
        <w:t>国家资本的大规模投入可能为早期深科技初创企业注入流动性，弥补融资缺口（2024年中国AI和半导体VC交易额同比下降15%至123亿美元），并可能吸引私人资本跟投。然而，这也带来了挑战：可能加剧市场竞争，挤压私人资本空间（2024年国有实体占中国深科技投资的40%，高于2022年的30%）；可能使投资决策更侧重国家战略目标而非市场可行性，重蹈类似“大基金”在半导体领域暴露出的效率不高、甚至出现问题的覆辙；可能影响退出路径，更倾向于国内科创板（STAR Market）等市场。</w:t>
      </w:r>
    </w:p>
    <w:p w14:paraId="00000088">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firstLine="640" w:firstLineChars="200"/>
        <w:jc w:val="both"/>
        <w:textAlignment w:val="auto"/>
      </w:pPr>
      <w:r>
        <w:rPr>
          <w:rFonts w:ascii="仿宋_GB2312" w:hAnsi="仿宋_GB2312" w:eastAsia="仿宋_GB2312" w:cs="Google Sans Text"/>
          <w:b w:val="0"/>
          <w:i w:val="0"/>
          <w:color w:val="1B1C1D"/>
          <w:sz w:val="32"/>
          <w:szCs w:val="24"/>
          <w:rtl w:val="0"/>
        </w:rPr>
        <w:t>深科技研发周期长、资本需求大、风险高，往往源于学术界或政府资助项目，需要长期“耐心资本”。早期融资是关键瓶颈。VC在投资时，除了考察技术、市场、竞争格局外，对创始团队的判断（如战略眼光、执行力、学习能力）至关重要。投资策略可能包括等待产业化拐点出现，或对大赛道进行多点布局。投资趋势正向更早期、更前沿移动。</w:t>
      </w:r>
    </w:p>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分析</w:t>
      </w:r>
      <w:r>
        <w:rPr>
          <w:rFonts w:hint="eastAsia" w:ascii="仿宋_GB2312" w:hAnsi="仿宋_GB2312" w:eastAsia="仿宋_GB2312" w:cs="Google Sans Text"/>
          <w:b w:val="0"/>
          <w:i w:val="0"/>
          <w:color w:val="1B1C1D"/>
          <w:sz w:val="32"/>
          <w:szCs w:val="24"/>
          <w:rtl w:val="0"/>
          <w:lang w:val="en-US" w:eastAsia="zh-CN"/>
        </w:rPr>
        <w:t>上述</w:t>
      </w:r>
      <w:r>
        <w:rPr>
          <w:rFonts w:ascii="仿宋_GB2312" w:hAnsi="仿宋_GB2312" w:eastAsia="仿宋_GB2312" w:cs="Google Sans Text"/>
          <w:b w:val="0"/>
          <w:i w:val="0"/>
          <w:color w:val="1B1C1D"/>
          <w:sz w:val="32"/>
          <w:szCs w:val="24"/>
          <w:rtl w:val="0"/>
        </w:rPr>
        <w:t>中国当前的</w:t>
      </w:r>
      <w:r>
        <w:rPr>
          <w:rFonts w:hint="eastAsia" w:ascii="仿宋_GB2312" w:hAnsi="仿宋_GB2312" w:eastAsia="仿宋_GB2312" w:cs="Google Sans Text"/>
          <w:b w:val="0"/>
          <w:i w:val="0"/>
          <w:color w:val="1B1C1D"/>
          <w:sz w:val="32"/>
          <w:szCs w:val="24"/>
          <w:rtl w:val="0"/>
          <w:lang w:val="en-US" w:eastAsia="zh-CN"/>
        </w:rPr>
        <w:t>颠覆性技术</w:t>
      </w:r>
      <w:r>
        <w:rPr>
          <w:rFonts w:ascii="仿宋_GB2312" w:hAnsi="仿宋_GB2312" w:eastAsia="仿宋_GB2312" w:cs="Google Sans Text"/>
          <w:b w:val="0"/>
          <w:i w:val="0"/>
          <w:color w:val="1B1C1D"/>
          <w:sz w:val="32"/>
          <w:szCs w:val="24"/>
          <w:rtl w:val="0"/>
        </w:rPr>
        <w:t>资助体系，可以看出中国正在构建一个专门的、多层次的颠覆性技术支持系统。这个系统与NSFC的基础研究资助有所区别，但可能形成协同。国家重点研发计划专项及其地方版本采用主动管理、组合投资（梯度布局）和专门评估方法，显示出国家试图将高风险、战略性技术的识别和培育制度化的努力。这或许代表了一种有意识的政策尝试，旨在创建一个专门通道，以支持那些被认为具有战略颠覆性的技术，可能意在弥合NSFC资助的基础研究与市场应用或VC投资之间的鸿沟。</w:t>
      </w:r>
    </w:p>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中国颠覆性技术专项的评估过程明确摒弃了传统指标（如不看重过往业绩），转而强调未来潜力（非共识性、原创性、颠覆性，以及场景、需求、路线、产权）。结合其“线下辅导”、“边论证、边完善”的互动式、迭代式项目遴选与完善流程，这标志着与标准学术评审的重大区别，更趋向于一种以潜力为导向、主动管理的评估模式。这种模式在精神上类似于DARPA的项目经理方法，但通过中心和明确的流程将其制度化，旨在克服传统同行评议的保守性，并积极引导项目朝向国家战略目标发展。</w:t>
      </w:r>
    </w:p>
    <w:p w14:paraId="7E7D03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Google Sans Text"/>
          <w:b w:val="0"/>
          <w:i w:val="0"/>
          <w:color w:val="1B1C1D"/>
          <w:sz w:val="32"/>
          <w:szCs w:val="24"/>
          <w:rtl w:val="0"/>
        </w:rPr>
      </w:pPr>
      <w:r>
        <w:rPr>
          <w:rFonts w:ascii="仿宋_GB2312" w:hAnsi="仿宋_GB2312" w:eastAsia="仿宋_GB2312" w:cs="Google Sans Text"/>
          <w:b w:val="0"/>
          <w:i w:val="0"/>
          <w:color w:val="1B1C1D"/>
          <w:sz w:val="32"/>
          <w:szCs w:val="24"/>
          <w:rtl w:val="0"/>
        </w:rPr>
        <w:t>国有资本在中国深科技风险投资生态中的主导地位创造了一种独特的动态。一方面，它可能解决了深科技所需的“耐心资本”和早期融资缺口问题。另一方面，它将国家战略目标直接与风险投资捆绑，可能深刻影响投资决策、市场竞争格局以及退出渠道（如偏好国内上市），其影响程度和方式与美欧等以私人资本为主导的VC市场显著不同。这意味着中国的颠覆性技术风险投资并非纯粹由市场驱动，而是在强大的国家引导框架内运作，这可能加速国家优先领域的发展，但也可能引入非市场风险和扭曲。</w:t>
      </w:r>
    </w:p>
    <w:p w14:paraId="0000008B">
      <w:pPr>
        <w:rPr>
          <w:rFonts w:ascii="仿宋_GB2312" w:hAnsi="仿宋_GB2312" w:eastAsia="仿宋_GB2312" w:cs="Google Sans Text"/>
          <w:b w:val="0"/>
          <w:i w:val="0"/>
          <w:color w:val="1B1C1D"/>
          <w:sz w:val="32"/>
          <w:szCs w:val="24"/>
          <w:rtl w:val="0"/>
        </w:rPr>
      </w:pPr>
      <w:r>
        <w:rPr>
          <w:rFonts w:ascii="仿宋_GB2312" w:hAnsi="仿宋_GB2312" w:eastAsia="仿宋_GB2312" w:cs="Google Sans Text"/>
          <w:b w:val="0"/>
          <w:i w:val="0"/>
          <w:color w:val="1B1C1D"/>
          <w:sz w:val="32"/>
          <w:szCs w:val="24"/>
          <w:rtl w:val="0"/>
        </w:rPr>
        <w:br w:type="page"/>
      </w:r>
    </w:p>
    <w:p w14:paraId="354B6C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仿宋_GB2312" w:hAnsi="仿宋_GB2312" w:eastAsia="仿宋_GB2312" w:cs="Google Sans Text"/>
          <w:b w:val="0"/>
          <w:i w:val="0"/>
          <w:color w:val="1B1C1D"/>
          <w:sz w:val="32"/>
          <w:szCs w:val="24"/>
          <w:rtl w:val="0"/>
        </w:rPr>
        <w:sectPr>
          <w:pgSz w:w="12240" w:h="15840"/>
          <w:pgMar w:top="2098" w:right="1474" w:bottom="1984" w:left="1587" w:header="0" w:footer="720" w:gutter="0"/>
          <w:pgNumType w:start="1"/>
          <w:cols w:space="720" w:num="1"/>
        </w:sectPr>
      </w:pPr>
    </w:p>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jc w:val="center"/>
        <w:textAlignment w:val="auto"/>
        <w:rPr>
          <w:rFonts w:ascii="Google Sans Text" w:hAnsi="Google Sans Text" w:eastAsia="Google Sans Text" w:cs="Google Sans Text"/>
          <w:b/>
          <w:i w:val="0"/>
          <w:color w:val="1B1C1D"/>
          <w:sz w:val="24"/>
          <w:szCs w:val="24"/>
        </w:rPr>
      </w:pPr>
      <w:r>
        <w:rPr>
          <w:rFonts w:ascii="仿宋_GB2312" w:hAnsi="仿宋_GB2312" w:eastAsia="仿宋_GB2312" w:cs="Google Sans Text"/>
          <w:b w:val="0"/>
          <w:i w:val="0"/>
          <w:color w:val="1B1C1D"/>
          <w:sz w:val="32"/>
          <w:szCs w:val="24"/>
          <w:rtl w:val="0"/>
        </w:rPr>
        <w:t>表2：中国非共识颠覆性技术主要资助渠道概览</w:t>
      </w:r>
    </w:p>
    <w:tbl>
      <w:tblPr>
        <w:tblStyle w:val="14"/>
        <w:tblW w:w="12606"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92"/>
        <w:gridCol w:w="2294"/>
        <w:gridCol w:w="1942"/>
        <w:gridCol w:w="2490"/>
        <w:gridCol w:w="3588"/>
      </w:tblGrid>
      <w:tr w14:paraId="4F3EE83B">
        <w:tc>
          <w:tcPr>
            <w:tcW w:w="229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b/>
                <w:i w:val="0"/>
                <w:color w:val="1B1C1D"/>
                <w:sz w:val="21"/>
                <w:szCs w:val="21"/>
                <w:shd w:val="clear" w:fill="auto"/>
              </w:rPr>
            </w:pPr>
            <w:r>
              <w:rPr>
                <w:rFonts w:hint="eastAsia" w:ascii="仿宋_GB2312" w:hAnsi="仿宋_GB2312" w:eastAsia="仿宋_GB2312" w:cs="仿宋_GB2312"/>
                <w:b/>
                <w:i w:val="0"/>
                <w:color w:val="1B1C1D"/>
                <w:sz w:val="21"/>
                <w:szCs w:val="21"/>
                <w:shd w:val="clear" w:fill="auto"/>
                <w:rtl w:val="0"/>
              </w:rPr>
              <w:t>渠道名称</w:t>
            </w:r>
          </w:p>
        </w:tc>
        <w:tc>
          <w:tcPr>
            <w:tcW w:w="229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b/>
                <w:i w:val="0"/>
                <w:color w:val="1B1C1D"/>
                <w:sz w:val="21"/>
                <w:szCs w:val="21"/>
                <w:shd w:val="clear" w:fill="auto"/>
              </w:rPr>
            </w:pPr>
            <w:r>
              <w:rPr>
                <w:rFonts w:hint="eastAsia" w:ascii="仿宋_GB2312" w:hAnsi="仿宋_GB2312" w:eastAsia="仿宋_GB2312" w:cs="仿宋_GB2312"/>
                <w:b/>
                <w:i w:val="0"/>
                <w:color w:val="1B1C1D"/>
                <w:sz w:val="21"/>
                <w:szCs w:val="21"/>
                <w:shd w:val="clear" w:fill="auto"/>
                <w:rtl w:val="0"/>
              </w:rPr>
              <w:t>管理实体</w:t>
            </w:r>
          </w:p>
        </w:tc>
        <w:tc>
          <w:tcPr>
            <w:tcW w:w="194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b/>
                <w:i w:val="0"/>
                <w:color w:val="1B1C1D"/>
                <w:sz w:val="21"/>
                <w:szCs w:val="21"/>
                <w:shd w:val="clear" w:fill="auto"/>
              </w:rPr>
            </w:pPr>
            <w:r>
              <w:rPr>
                <w:rFonts w:hint="eastAsia" w:ascii="仿宋_GB2312" w:hAnsi="仿宋_GB2312" w:eastAsia="仿宋_GB2312" w:cs="仿宋_GB2312"/>
                <w:b/>
                <w:i w:val="0"/>
                <w:color w:val="1B1C1D"/>
                <w:sz w:val="21"/>
                <w:szCs w:val="21"/>
                <w:shd w:val="clear" w:fill="auto"/>
                <w:rtl w:val="0"/>
              </w:rPr>
              <w:t>主要目标阶段</w:t>
            </w:r>
          </w:p>
        </w:tc>
        <w:tc>
          <w:tcPr>
            <w:tcW w:w="249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b/>
                <w:i w:val="0"/>
                <w:color w:val="1B1C1D"/>
                <w:sz w:val="21"/>
                <w:szCs w:val="21"/>
                <w:shd w:val="clear" w:fill="auto"/>
              </w:rPr>
            </w:pPr>
            <w:r>
              <w:rPr>
                <w:rFonts w:hint="eastAsia" w:ascii="仿宋_GB2312" w:hAnsi="仿宋_GB2312" w:eastAsia="仿宋_GB2312" w:cs="仿宋_GB2312"/>
                <w:b/>
                <w:i w:val="0"/>
                <w:color w:val="1B1C1D"/>
                <w:sz w:val="21"/>
                <w:szCs w:val="21"/>
                <w:shd w:val="clear" w:fill="auto"/>
                <w:rtl w:val="0"/>
              </w:rPr>
              <w:t>关键特征</w:t>
            </w:r>
          </w:p>
        </w:tc>
        <w:tc>
          <w:tcPr>
            <w:tcW w:w="358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b/>
                <w:i w:val="0"/>
                <w:color w:val="1B1C1D"/>
                <w:sz w:val="21"/>
                <w:szCs w:val="21"/>
                <w:shd w:val="clear" w:fill="auto"/>
              </w:rPr>
            </w:pPr>
            <w:r>
              <w:rPr>
                <w:rFonts w:hint="eastAsia" w:ascii="仿宋_GB2312" w:hAnsi="仿宋_GB2312" w:eastAsia="仿宋_GB2312" w:cs="仿宋_GB2312"/>
                <w:b/>
                <w:i w:val="0"/>
                <w:color w:val="1B1C1D"/>
                <w:sz w:val="21"/>
                <w:szCs w:val="21"/>
                <w:shd w:val="clear" w:fill="auto"/>
                <w:rtl w:val="0"/>
              </w:rPr>
              <w:t>评估方法</w:t>
            </w:r>
          </w:p>
        </w:tc>
      </w:tr>
      <w:tr w14:paraId="1FF72160">
        <w:tc>
          <w:tcPr>
            <w:tcW w:w="229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国家重点研发计划“颠覆性技术创新”专项</w:t>
            </w:r>
          </w:p>
        </w:tc>
        <w:tc>
          <w:tcPr>
            <w:tcW w:w="229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科技部指导下的国家级中心（如京津冀中心）</w:t>
            </w:r>
          </w:p>
        </w:tc>
        <w:tc>
          <w:tcPr>
            <w:tcW w:w="194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育种、育苗、育材（覆盖从基础研究后到应用优化）</w:t>
            </w:r>
          </w:p>
        </w:tc>
        <w:tc>
          <w:tcPr>
            <w:tcW w:w="249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梯度资助、开放发现、动态管理、滚动支持、尽职免责</w:t>
            </w:r>
          </w:p>
        </w:tc>
        <w:tc>
          <w:tcPr>
            <w:tcW w:w="358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专家/专员主导、多轮迭代论证、里程碑考核、强调潜力（场景/需求/路线/产权）、摒弃传统指标</w:t>
            </w:r>
          </w:p>
        </w:tc>
      </w:tr>
      <w:tr w14:paraId="348F4A67">
        <w:tc>
          <w:tcPr>
            <w:tcW w:w="229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国家自然科学基金（NSFC）原创探索计划</w:t>
            </w:r>
          </w:p>
        </w:tc>
        <w:tc>
          <w:tcPr>
            <w:tcW w:w="229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NSFC</w:t>
            </w:r>
          </w:p>
        </w:tc>
        <w:tc>
          <w:tcPr>
            <w:tcW w:w="194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基础研究、早期探索</w:t>
            </w:r>
          </w:p>
        </w:tc>
        <w:tc>
          <w:tcPr>
            <w:tcW w:w="249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鼓励自由探索、高风险、原创性</w:t>
            </w:r>
          </w:p>
        </w:tc>
        <w:tc>
          <w:tcPr>
            <w:tcW w:w="358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同行评议（强调责任/信誉/贡献）、关注原创潜力</w:t>
            </w:r>
          </w:p>
        </w:tc>
      </w:tr>
      <w:tr w14:paraId="5B60F179">
        <w:tc>
          <w:tcPr>
            <w:tcW w:w="229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地方颠覆性技术创新专项（如上海）</w:t>
            </w:r>
          </w:p>
        </w:tc>
        <w:tc>
          <w:tcPr>
            <w:tcW w:w="229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地方科委指导下的地方中心（如上海中心）</w:t>
            </w:r>
          </w:p>
        </w:tc>
        <w:tc>
          <w:tcPr>
            <w:tcW w:w="194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育种、育苗、育材（同国家专项）</w:t>
            </w:r>
          </w:p>
        </w:tc>
        <w:tc>
          <w:tcPr>
            <w:tcW w:w="249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地方实施、与国家专项对接、多渠道发现</w:t>
            </w:r>
          </w:p>
        </w:tc>
        <w:tc>
          <w:tcPr>
            <w:tcW w:w="358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专家/专员主导、多轮迭代论证、强调潜力（同国家专项）</w:t>
            </w:r>
          </w:p>
        </w:tc>
      </w:tr>
      <w:tr w14:paraId="08AD6E32">
        <w:tc>
          <w:tcPr>
            <w:tcW w:w="229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政府引导基金/国有风险投资</w:t>
            </w:r>
          </w:p>
        </w:tc>
        <w:tc>
          <w:tcPr>
            <w:tcW w:w="2294"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各级政府引导基金、国有背景VC/PE</w:t>
            </w:r>
          </w:p>
        </w:tc>
        <w:tc>
          <w:tcPr>
            <w:tcW w:w="1942"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早期、成长期、成熟期（视基金定位）</w:t>
            </w:r>
          </w:p>
        </w:tc>
        <w:tc>
          <w:tcPr>
            <w:tcW w:w="249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市场化运作与国家战略目标结合、规模大</w:t>
            </w:r>
          </w:p>
        </w:tc>
        <w:tc>
          <w:tcPr>
            <w:tcW w:w="3588"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firstLine="0" w:firstLineChars="0"/>
              <w:jc w:val="both"/>
              <w:textAlignment w:val="auto"/>
              <w:rPr>
                <w:rFonts w:hint="eastAsia" w:ascii="仿宋_GB2312" w:hAnsi="仿宋_GB2312" w:eastAsia="仿宋_GB2312" w:cs="仿宋_GB2312"/>
                <w:i w:val="0"/>
                <w:color w:val="1B1C1D"/>
                <w:sz w:val="21"/>
                <w:szCs w:val="21"/>
                <w:shd w:val="clear" w:fill="auto"/>
              </w:rPr>
            </w:pPr>
            <w:r>
              <w:rPr>
                <w:rFonts w:hint="eastAsia" w:ascii="仿宋_GB2312" w:hAnsi="仿宋_GB2312" w:eastAsia="仿宋_GB2312" w:cs="仿宋_GB2312"/>
                <w:i w:val="0"/>
                <w:color w:val="1B1C1D"/>
                <w:sz w:val="21"/>
                <w:szCs w:val="21"/>
                <w:shd w:val="clear" w:fill="auto"/>
                <w:rtl w:val="0"/>
              </w:rPr>
              <w:t>市场潜力、技术壁垒、团队能力、与国家战略契合度</w:t>
            </w:r>
          </w:p>
        </w:tc>
      </w:tr>
    </w:tbl>
    <w:p w14:paraId="398677D5">
      <w:pPr>
        <w:rPr>
          <w:rFonts w:ascii="黑体" w:hAnsi="黑体" w:eastAsia="黑体"/>
          <w:b w:val="0"/>
          <w:sz w:val="32"/>
        </w:rPr>
      </w:pPr>
      <w:r>
        <w:rPr>
          <w:rFonts w:ascii="黑体" w:hAnsi="黑体" w:eastAsia="黑体"/>
          <w:b w:val="0"/>
          <w:sz w:val="32"/>
        </w:rPr>
        <w:br w:type="page"/>
      </w:r>
    </w:p>
    <w:p w14:paraId="1C0226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黑体" w:hAnsi="黑体" w:eastAsia="黑体"/>
          <w:b w:val="0"/>
          <w:sz w:val="32"/>
        </w:rPr>
        <w:sectPr>
          <w:pgSz w:w="15840" w:h="12240" w:orient="landscape"/>
          <w:pgMar w:top="1587" w:right="2098" w:bottom="1474" w:left="1984" w:header="0" w:footer="720" w:gutter="0"/>
          <w:paperSrc/>
          <w:pgNumType w:start="1"/>
          <w:cols w:space="0" w:num="1"/>
          <w:rtlGutter w:val="0"/>
          <w:docGrid w:linePitch="0" w:charSpace="0"/>
        </w:sectPr>
      </w:pPr>
    </w:p>
    <w:p w14:paraId="000000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b/>
          <w:i w:val="0"/>
          <w:color w:val="1B1C1D"/>
          <w:sz w:val="24"/>
          <w:szCs w:val="24"/>
        </w:rPr>
      </w:pPr>
      <w:r>
        <w:rPr>
          <w:rFonts w:ascii="黑体" w:hAnsi="黑体" w:eastAsia="黑体"/>
          <w:b w:val="0"/>
          <w:sz w:val="32"/>
        </w:rPr>
        <w:t>四、不同体系下资助机制的分析</w:t>
      </w:r>
    </w:p>
    <w:p w14:paraId="000000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不同的资助体系采用了多样的机制来支持非共识颠覆性技术，这些机制的选择反映了各自的战略目标和运作哲学。</w:t>
      </w:r>
    </w:p>
    <w:p w14:paraId="000000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（一）拨款（Grants）vs.合同（Contracts）</w:t>
      </w:r>
    </w:p>
    <w:p w14:paraId="000000A9">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hint="eastAsia" w:ascii="仿宋_GB2312" w:hAnsi="仿宋_GB2312" w:eastAsia="仿宋_GB2312" w:cs="Google Sans Text"/>
          <w:b w:val="0"/>
          <w:i w:val="0"/>
          <w:color w:val="1B1C1D"/>
          <w:sz w:val="32"/>
          <w:szCs w:val="24"/>
          <w:rtl w:val="0"/>
          <w:lang w:val="en-US" w:eastAsia="zh-CN"/>
        </w:rPr>
        <w:t>1、</w:t>
      </w:r>
      <w:r>
        <w:rPr>
          <w:rFonts w:ascii="仿宋_GB2312" w:hAnsi="仿宋_GB2312" w:eastAsia="仿宋_GB2312" w:cs="Google Sans Text"/>
          <w:b w:val="0"/>
          <w:i w:val="0"/>
          <w:color w:val="1B1C1D"/>
          <w:sz w:val="32"/>
          <w:szCs w:val="24"/>
          <w:rtl w:val="0"/>
        </w:rPr>
        <w:t>拨款（Grants）：通常赋予研究者更大的研究方向和执行自由度。这种方式常见于支持基础研究和前沿探索的机构，如ERC的各项基金和NSFC的项目。拨款项目的评审通常基于研究计划的卓越性和研究者本身的资质与过往成就。对于初创企业而言，非稀释性的政府拨款是宝贵的早期资源。</w:t>
      </w:r>
    </w:p>
    <w:p w14:paraId="000000AA">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合同（Contracts）：允许资助方对研究目标、交付成果和进度进行更具体的规定和更强的控制。这更符合任务导向型机构的需求，例如DARPA为了确保研究成果满足国家安全需求，很可能广泛使用合同形式。ARPA-E使用的是“资助协议”（funding agreements），可能介于传统拨款和严格合同之间。中国的颠覆性技术专项虽然可能形式上是拨款，但其强调过程管理、动态优化和明确的梯度目标，使得其在实践中带有更强的合同或项目管理色彩。</w:t>
      </w:r>
    </w:p>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选择拨款还是合同，反映了资助理念上的根本差异：是更侧重于激发研究者的内在好奇心和创造力，还是更侧重于引导研究力量服务于预设的战略目标。颠覆性技术的资助体系往往会混合使用这两种方式，或者对传统机制进行调整（例如，管理更严格的拨款或更灵活的合同），以适应既要探索未知又要达成特定目标的双重需求。</w:t>
      </w:r>
    </w:p>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（二）挑战赛/奖金（Prizes/Challenges）的催化作用</w:t>
      </w:r>
    </w:p>
    <w:p w14:paraId="000000AD">
      <w:pPr>
        <w:keepNext w:val="0"/>
        <w:keepLines w:val="0"/>
        <w:pageBreakBefore w:val="0"/>
        <w:widowControl w:val="0"/>
        <w:numPr>
          <w:ilvl w:val="0"/>
          <w:numId w:val="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DARPA利用挑战赛（奖金可达1000万美元）来激励特定技术难题的突破，并吸引传统资助渠道之外的“非传统”参与者。ARIA也可能采用奖金激励。</w:t>
      </w:r>
    </w:p>
    <w:p w14:paraId="000000AE">
      <w:pPr>
        <w:keepNext w:val="0"/>
        <w:keepLines w:val="0"/>
        <w:pageBreakBefore w:val="0"/>
        <w:widowControl w:val="0"/>
        <w:numPr>
          <w:ilvl w:val="0"/>
          <w:numId w:val="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中国的颠覆性技术专项将创新大赛（如全国颠覆性技术创新大赛）作为发现和选拔项目的重要渠道之一。</w:t>
      </w:r>
    </w:p>
    <w:p w14:paraId="000000AF">
      <w:pPr>
        <w:keepNext w:val="0"/>
        <w:keepLines w:val="0"/>
        <w:pageBreakBefore w:val="0"/>
        <w:widowControl w:val="0"/>
        <w:numPr>
          <w:ilvl w:val="0"/>
          <w:numId w:val="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挑战赛/奖金机制对于那些目标明确但实现路径不清晰的技术难题尤为有效。它们可以将风险转移给参赛者（只有成功者获得奖励），同时通过开放竞争，可能发掘出意想不到的新颖解决方案，从而有效补充传统的拨款和合同机制。中国对此类机制的采用表明其借鉴了国际上的成功实践。</w:t>
      </w:r>
    </w:p>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（三）早期资助：种子基金、天使投资与非稀释性选项</w:t>
      </w:r>
    </w:p>
    <w:p w14:paraId="000000B1">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早期阶段的资金对于深科技至关重要，因为它们通常面临高昂的前期研发投入和巨大的不确定性。</w:t>
      </w:r>
    </w:p>
    <w:p w14:paraId="000000B2">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政府资助计划中设立专门的早期/种子阶段机制非常关键。例如，DARPA的“种子”项目（Seedlings）专门支持极早期、高风险的概念；ARIA的“机遇种子”（Opportunity Seeds）也服务于类似目的；中国的“育种”阶段（Seed）覆盖了基础研究完成后的初步探索；ARPA-E的IDEAS计划提供快速的早期资助。</w:t>
      </w:r>
    </w:p>
    <w:p w14:paraId="000000B3">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非稀释性融资（Non-dilutive funding），如政府拨款、奖金，以及ARPA-E模式，对初创公司极具吸引力，因为它们可以在不放弃股权的情况下获得发展资金。政府拨款常常扮演这个角色。</w:t>
      </w:r>
    </w:p>
    <w:p w14:paraId="000000B4">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天使投资人（Angel Investors）和天使投资集团（Syndicates）提供的是早期的稀释性资本（dilutive capital），他们的投资决策往往基于其个人经验、偏好（thesis-driven）和人脉网络。</w:t>
      </w:r>
    </w:p>
    <w:p w14:paraId="000000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这些由政府主导的、专门针对种子期或极早期阶段的资助机制，对于弥合非共识颠覆性技术在诞生初期所面临的“死亡谷”至关重要。它们在风险最高、私人资本最缺乏的时候提供了关键的资金和验证，是非稀释性选项的重要来源，起到了传统风险投资无法替代的作用。</w:t>
      </w:r>
    </w:p>
    <w:p w14:paraId="000000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（四）风险投资（VC）：弥合通往市场的鸿沟</w:t>
      </w:r>
    </w:p>
    <w:p w14:paraId="000000B7">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风险投资在颠覆性技术经历初步的风险降低阶段后，对其规模化发展和推向市场起着至关重要的作用。</w:t>
      </w:r>
    </w:p>
    <w:p w14:paraId="000000B8">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ARPA-E明确将吸引到的私人后续投资作为衡量其项目成功的重要指标之一。DARPA的许多成功项目也通过VC支持的初创公司或被大公司收购等方式实现了商业化。</w:t>
      </w:r>
    </w:p>
    <w:p w14:paraId="000000B9">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然而，传统VC模式与深科技投资之间存在一定的张力。深科技通常需要更长的发展周期（达到独角兽地位的中位数时间为5.2年）、更高的资本投入（达到独角兽地位的中位数融资额为1.15亿美元）以及承担更大的技术风险，这需要更有耐心的资本。</w:t>
      </w:r>
    </w:p>
    <w:p w14:paraId="000000BA">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中国的VC生态系统，尤其是在战略性深科技领域，受到国家资本的显著影响。这虽然可能提供必要的资本，但也引入了非市场因素。VC在做投资决策时，技术、市场和团队是核心考量因素。</w:t>
      </w:r>
    </w:p>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风险投资对于颠覆性创新的后期发展不可或缺，但其传统模式可能并不完全适应最早、最不确定的阶段。政府资助往往是必要的前奏或催化剂，通过投入降低技术风险，使其对VC更具吸引力。而VC生态系统的性质（是以私人资本为主导，还是受国家资本显著影响）则极大地影响着从公共资助到风险投资的衔接过程和效率。</w:t>
      </w:r>
    </w:p>
    <w:p w14:paraId="000000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b/>
          <w:i w:val="0"/>
          <w:color w:val="1B1C1D"/>
          <w:sz w:val="24"/>
          <w:szCs w:val="24"/>
        </w:rPr>
      </w:pPr>
      <w:r>
        <w:rPr>
          <w:rFonts w:ascii="黑体" w:hAnsi="黑体" w:eastAsia="黑体"/>
          <w:b w:val="0"/>
          <w:sz w:val="32"/>
        </w:rPr>
        <w:t>五、独特的评估标准与流程</w:t>
      </w:r>
    </w:p>
    <w:p w14:paraId="000000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资助非共识颠覆性技术的核心挑战之一在于如何有效评估其潜力，这往往需要超越传统的科研项目评审方法。</w:t>
      </w:r>
    </w:p>
    <w:p w14:paraId="000000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（一）超越传统同行评议的探索</w:t>
      </w:r>
    </w:p>
    <w:p w14:paraId="000000BF">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0" w:leftChars="0" w:firstLine="640" w:firstLineChars="200"/>
        <w:jc w:val="both"/>
        <w:textAlignment w:val="auto"/>
      </w:pPr>
      <w:r>
        <w:rPr>
          <w:rFonts w:ascii="仿宋_GB2312" w:hAnsi="仿宋_GB2312" w:eastAsia="仿宋_GB2312" w:cs="Google Sans Text"/>
          <w:b w:val="0"/>
          <w:i w:val="0"/>
          <w:color w:val="1B1C1D"/>
          <w:sz w:val="32"/>
          <w:szCs w:val="24"/>
          <w:rtl w:val="0"/>
        </w:rPr>
        <w:t>传统同行评议（Peer Review）在评估此类项目时面临局限，例如评审专家组可能趋于保守，难以准确判断风险过高或过于早期的想法，且可能存在各种偏见（如对非传统路径或年轻研究者的偏见）。</w:t>
      </w:r>
    </w:p>
    <w:p w14:paraId="000000C0">
      <w:pPr>
        <w:keepNext w:val="0"/>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作为替代或补充，各种创新的评估模式应运而生：</w:t>
      </w:r>
    </w:p>
    <w:p w14:paraId="000000C1">
      <w:pPr>
        <w:keepNext w:val="0"/>
        <w:keepLines w:val="0"/>
        <w:pageBreakBefore w:val="0"/>
        <w:widowControl w:val="0"/>
        <w:numPr>
          <w:ilvl w:val="1"/>
          <w:numId w:val="1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870" w:firstLine="640" w:firstLineChars="200"/>
        <w:jc w:val="both"/>
        <w:textAlignment w:val="auto"/>
      </w:pPr>
      <w:r>
        <w:rPr>
          <w:rFonts w:ascii="仿宋_GB2312" w:hAnsi="仿宋_GB2312" w:eastAsia="仿宋_GB2312" w:cs="Google Sans Text"/>
          <w:b w:val="0"/>
          <w:i w:val="0"/>
          <w:color w:val="1B1C1D"/>
          <w:sz w:val="32"/>
          <w:szCs w:val="24"/>
          <w:rtl w:val="0"/>
        </w:rPr>
        <w:t>项目经理/主任负责制：如DARPA和ARIA模式，由被赋予高度自主权的专家（PMs/PDs）负责项目的遴选和管理。</w:t>
      </w:r>
    </w:p>
    <w:p w14:paraId="000000C2">
      <w:pPr>
        <w:keepNext w:val="0"/>
        <w:keepLines w:val="0"/>
        <w:pageBreakBefore w:val="0"/>
        <w:widowControl w:val="0"/>
        <w:numPr>
          <w:ilvl w:val="1"/>
          <w:numId w:val="1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870" w:firstLine="640" w:firstLineChars="200"/>
        <w:jc w:val="both"/>
        <w:textAlignment w:val="auto"/>
      </w:pPr>
      <w:r>
        <w:rPr>
          <w:rFonts w:ascii="仿宋_GB2312" w:hAnsi="仿宋_GB2312" w:eastAsia="仿宋_GB2312" w:cs="Google Sans Text"/>
          <w:b w:val="0"/>
          <w:i w:val="0"/>
          <w:color w:val="1B1C1D"/>
          <w:sz w:val="32"/>
          <w:szCs w:val="24"/>
          <w:rtl w:val="0"/>
        </w:rPr>
        <w:t>改良的同行评议：如ERC采用叙述性简历、限制量化指标使用、强调项目本身而非仅看PI过往成就等方式，引导专家组做出更全面的判断。</w:t>
      </w:r>
    </w:p>
    <w:p w14:paraId="000000C3">
      <w:pPr>
        <w:keepNext w:val="0"/>
        <w:keepLines w:val="0"/>
        <w:pageBreakBefore w:val="0"/>
        <w:widowControl w:val="0"/>
        <w:numPr>
          <w:ilvl w:val="1"/>
          <w:numId w:val="1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870" w:firstLine="640" w:firstLineChars="200"/>
        <w:jc w:val="both"/>
        <w:textAlignment w:val="auto"/>
      </w:pPr>
      <w:r>
        <w:rPr>
          <w:rFonts w:ascii="仿宋_GB2312" w:hAnsi="仿宋_GB2312" w:eastAsia="仿宋_GB2312" w:cs="Google Sans Text"/>
          <w:b w:val="0"/>
          <w:i w:val="0"/>
          <w:color w:val="1B1C1D"/>
          <w:sz w:val="32"/>
          <w:szCs w:val="24"/>
          <w:rtl w:val="0"/>
        </w:rPr>
        <w:t>多阶段专家/专员评审：如中国的颠覆性技术专项，通过项目专员初筛、多轮专家论证、中心评议等环节进行筛选，并强调专家实名推荐的作用。</w:t>
      </w:r>
    </w:p>
    <w:p w14:paraId="000000C4">
      <w:pPr>
        <w:keepNext w:val="0"/>
        <w:keepLines w:val="0"/>
        <w:pageBreakBefore w:val="0"/>
        <w:widowControl w:val="0"/>
        <w:numPr>
          <w:ilvl w:val="1"/>
          <w:numId w:val="1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870" w:firstLine="640" w:firstLineChars="200"/>
        <w:jc w:val="both"/>
        <w:textAlignment w:val="auto"/>
      </w:pPr>
      <w:r>
        <w:rPr>
          <w:rFonts w:ascii="仿宋_GB2312" w:hAnsi="仿宋_GB2312" w:eastAsia="仿宋_GB2312" w:cs="Google Sans Text"/>
          <w:b w:val="0"/>
          <w:i w:val="0"/>
          <w:color w:val="1B1C1D"/>
          <w:sz w:val="32"/>
          <w:szCs w:val="24"/>
          <w:rtl w:val="0"/>
        </w:rPr>
        <w:t>申请人反驳机制：如ARPA-E允许申请人回应评审意见。</w:t>
      </w:r>
    </w:p>
    <w:p w14:paraId="000000C5">
      <w:pPr>
        <w:keepNext w:val="0"/>
        <w:keepLines w:val="0"/>
        <w:pageBreakBefore w:val="0"/>
        <w:widowControl w:val="0"/>
        <w:numPr>
          <w:ilvl w:val="1"/>
          <w:numId w:val="1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line="560" w:lineRule="exact"/>
        <w:ind w:left="870" w:firstLine="640" w:firstLineChars="200"/>
        <w:jc w:val="both"/>
        <w:textAlignment w:val="auto"/>
      </w:pPr>
      <w:r>
        <w:rPr>
          <w:rFonts w:ascii="仿宋_GB2312" w:hAnsi="仿宋_GB2312" w:eastAsia="仿宋_GB2312" w:cs="Google Sans Text"/>
          <w:b w:val="0"/>
          <w:i w:val="0"/>
          <w:color w:val="1B1C1D"/>
          <w:sz w:val="32"/>
          <w:szCs w:val="24"/>
          <w:rtl w:val="0"/>
        </w:rPr>
        <w:t>其他探索：还包括双盲评审、匿名申请、“黄金投票权”（golden vote）或随机选择等建议。</w:t>
      </w:r>
    </w:p>
    <w:p w14:paraId="00000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（二）评估变革潜力：“海尔梅尔灵魂之问”及其对应方法</w:t>
      </w:r>
    </w:p>
    <w:p w14:paraId="000000C7">
      <w:pPr>
        <w:keepNext w:val="0"/>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海尔梅尔灵魂之问（Heilmeier Catechism,DARPA）：这套结构化的问题框架强制要求项目提出者清晰阐述：</w:t>
      </w:r>
    </w:p>
    <w:p w14:paraId="000000C8">
      <w:pPr>
        <w:keepNext w:val="0"/>
        <w:keepLines w:val="0"/>
        <w:pageBreakBefore w:val="0"/>
        <w:widowControl w:val="0"/>
        <w:numPr>
          <w:ilvl w:val="1"/>
          <w:numId w:val="1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885" w:firstLine="640" w:firstLineChars="200"/>
        <w:jc w:val="both"/>
        <w:textAlignment w:val="auto"/>
      </w:pPr>
      <w:r>
        <w:rPr>
          <w:rFonts w:ascii="仿宋_GB2312" w:hAnsi="仿宋_GB2312" w:eastAsia="仿宋_GB2312" w:cs="Google Sans Text"/>
          <w:b w:val="0"/>
          <w:i w:val="0"/>
          <w:color w:val="1B1C1D"/>
          <w:sz w:val="32"/>
          <w:szCs w:val="24"/>
          <w:rtl w:val="0"/>
        </w:rPr>
        <w:t>目标是什么？（杜绝行话）</w:t>
      </w:r>
    </w:p>
    <w:p w14:paraId="000000C9">
      <w:pPr>
        <w:keepNext w:val="0"/>
        <w:keepLines w:val="0"/>
        <w:pageBreakBefore w:val="0"/>
        <w:widowControl w:val="0"/>
        <w:numPr>
          <w:ilvl w:val="1"/>
          <w:numId w:val="1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885" w:firstLine="640" w:firstLineChars="200"/>
        <w:jc w:val="both"/>
        <w:textAlignment w:val="auto"/>
      </w:pPr>
      <w:r>
        <w:rPr>
          <w:rFonts w:ascii="仿宋_GB2312" w:hAnsi="仿宋_GB2312" w:eastAsia="仿宋_GB2312" w:cs="Google Sans Text"/>
          <w:b w:val="0"/>
          <w:i w:val="0"/>
          <w:color w:val="1B1C1D"/>
          <w:sz w:val="32"/>
          <w:szCs w:val="24"/>
          <w:rtl w:val="0"/>
        </w:rPr>
        <w:t>当前做法是什么？局限何在？</w:t>
      </w:r>
    </w:p>
    <w:p w14:paraId="000000CA">
      <w:pPr>
        <w:keepNext w:val="0"/>
        <w:keepLines w:val="0"/>
        <w:pageBreakBefore w:val="0"/>
        <w:widowControl w:val="0"/>
        <w:numPr>
          <w:ilvl w:val="1"/>
          <w:numId w:val="1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885" w:firstLine="640" w:firstLineChars="200"/>
        <w:jc w:val="both"/>
        <w:textAlignment w:val="auto"/>
      </w:pPr>
      <w:r>
        <w:rPr>
          <w:rFonts w:ascii="仿宋_GB2312" w:hAnsi="仿宋_GB2312" w:eastAsia="仿宋_GB2312" w:cs="Google Sans Text"/>
          <w:b w:val="0"/>
          <w:i w:val="0"/>
          <w:color w:val="1B1C1D"/>
          <w:sz w:val="32"/>
          <w:szCs w:val="24"/>
          <w:rtl w:val="0"/>
        </w:rPr>
        <w:t>你的新方法是什么？为何认为能成功？</w:t>
      </w:r>
    </w:p>
    <w:p w14:paraId="000000CB">
      <w:pPr>
        <w:keepNext w:val="0"/>
        <w:keepLines w:val="0"/>
        <w:pageBreakBefore w:val="0"/>
        <w:widowControl w:val="0"/>
        <w:numPr>
          <w:ilvl w:val="1"/>
          <w:numId w:val="1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885" w:firstLine="640" w:firstLineChars="200"/>
        <w:jc w:val="both"/>
        <w:textAlignment w:val="auto"/>
      </w:pPr>
      <w:r>
        <w:rPr>
          <w:rFonts w:ascii="仿宋_GB2312" w:hAnsi="仿宋_GB2312" w:eastAsia="仿宋_GB2312" w:cs="Google Sans Text"/>
          <w:b w:val="0"/>
          <w:i w:val="0"/>
          <w:color w:val="1B1C1D"/>
          <w:sz w:val="32"/>
          <w:szCs w:val="24"/>
          <w:rtl w:val="0"/>
        </w:rPr>
        <w:t>谁在乎？（若成功，意义何在？）</w:t>
      </w:r>
    </w:p>
    <w:p w14:paraId="000000CC">
      <w:pPr>
        <w:keepNext w:val="0"/>
        <w:keepLines w:val="0"/>
        <w:pageBreakBefore w:val="0"/>
        <w:widowControl w:val="0"/>
        <w:numPr>
          <w:ilvl w:val="1"/>
          <w:numId w:val="1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885" w:firstLine="640" w:firstLineChars="200"/>
        <w:jc w:val="both"/>
        <w:textAlignment w:val="auto"/>
      </w:pPr>
      <w:r>
        <w:rPr>
          <w:rFonts w:ascii="仿宋_GB2312" w:hAnsi="仿宋_GB2312" w:eastAsia="仿宋_GB2312" w:cs="Google Sans Text"/>
          <w:b w:val="0"/>
          <w:i w:val="0"/>
          <w:color w:val="1B1C1D"/>
          <w:sz w:val="32"/>
          <w:szCs w:val="24"/>
          <w:rtl w:val="0"/>
        </w:rPr>
        <w:t>风险是什么？</w:t>
      </w:r>
    </w:p>
    <w:p w14:paraId="000000CD">
      <w:pPr>
        <w:keepNext w:val="0"/>
        <w:keepLines w:val="0"/>
        <w:pageBreakBefore w:val="0"/>
        <w:widowControl w:val="0"/>
        <w:numPr>
          <w:ilvl w:val="1"/>
          <w:numId w:val="1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885" w:firstLine="640" w:firstLineChars="200"/>
        <w:jc w:val="both"/>
        <w:textAlignment w:val="auto"/>
      </w:pPr>
      <w:r>
        <w:rPr>
          <w:rFonts w:ascii="仿宋_GB2312" w:hAnsi="仿宋_GB2312" w:eastAsia="仿宋_GB2312" w:cs="Google Sans Text"/>
          <w:b w:val="0"/>
          <w:i w:val="0"/>
          <w:color w:val="1B1C1D"/>
          <w:sz w:val="32"/>
          <w:szCs w:val="24"/>
          <w:rtl w:val="0"/>
        </w:rPr>
        <w:t>成本多少？</w:t>
      </w:r>
    </w:p>
    <w:p w14:paraId="000000CE">
      <w:pPr>
        <w:keepNext w:val="0"/>
        <w:keepLines w:val="0"/>
        <w:pageBreakBefore w:val="0"/>
        <w:widowControl w:val="0"/>
        <w:numPr>
          <w:ilvl w:val="1"/>
          <w:numId w:val="1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885" w:firstLine="640" w:firstLineChars="200"/>
        <w:jc w:val="both"/>
        <w:textAlignment w:val="auto"/>
      </w:pPr>
      <w:r>
        <w:rPr>
          <w:rFonts w:ascii="仿宋_GB2312" w:hAnsi="仿宋_GB2312" w:eastAsia="仿宋_GB2312" w:cs="Google Sans Text"/>
          <w:b w:val="0"/>
          <w:i w:val="0"/>
          <w:color w:val="1B1C1D"/>
          <w:sz w:val="32"/>
          <w:szCs w:val="24"/>
          <w:rtl w:val="0"/>
        </w:rPr>
        <w:t>耗时多久？</w:t>
      </w:r>
    </w:p>
    <w:p w14:paraId="000000CF">
      <w:pPr>
        <w:keepNext w:val="0"/>
        <w:keepLines w:val="0"/>
        <w:pageBreakBefore w:val="0"/>
        <w:widowControl w:val="0"/>
        <w:numPr>
          <w:ilvl w:val="1"/>
          <w:numId w:val="1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885" w:firstLine="640" w:firstLineChars="200"/>
        <w:jc w:val="both"/>
        <w:textAlignment w:val="auto"/>
      </w:pPr>
      <w:r>
        <w:rPr>
          <w:rFonts w:ascii="仿宋_GB2312" w:hAnsi="仿宋_GB2312" w:eastAsia="仿宋_GB2312" w:cs="Google Sans Text"/>
          <w:b w:val="0"/>
          <w:i w:val="0"/>
          <w:color w:val="1B1C1D"/>
          <w:sz w:val="32"/>
          <w:szCs w:val="24"/>
          <w:rtl w:val="0"/>
        </w:rPr>
        <w:t>如何检验成功？（中期和最终“考试”）这套问题迫使思考者聚焦于目标、创新性，尤其是潜在影响力和实现路径。</w:t>
      </w:r>
    </w:p>
    <w:p w14:paraId="000000D0">
      <w:pPr>
        <w:keepNext w:val="0"/>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ERC的卓越性标准：尽管ERC声称“科学卓越性”是唯一标准，但其内涵丰富，包括了项目的开创性、雄心和可行性，以及PI的智力、创造力和执行项目的能力。高风险/高回报是受鼓励的特征，通过评估项目的新颖性和雄心来体现。叙述性的成就描述取代了简单的量化指标。</w:t>
      </w:r>
    </w:p>
    <w:p w14:paraId="000000D1">
      <w:pPr>
        <w:keepNext w:val="0"/>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中国颠覆性技术专项的标准：明确要求跳脱传统，聚焦于非共识性、原创性、颠覆性。形式化的标准包括场景强、需求刚、路线特、产权独。评估的核心是战略价值和实现跨越式创新的潜力。</w:t>
      </w:r>
    </w:p>
    <w:p w14:paraId="000000D2">
      <w:pPr>
        <w:keepNext w:val="0"/>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其他HRHR项目的原则（如NIH,NSERC）：支持具有非凡创造力的科学家、具有广泛影响潜力的创新思想，不强制要求初步数据。关注新颖性、潜在影响、挑战现有观念的能力。</w:t>
      </w:r>
    </w:p>
    <w:p w14:paraId="000000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（三）项目经理与专家判断的角色</w:t>
      </w:r>
    </w:p>
    <w:p w14:paraId="000000D4">
      <w:pPr>
        <w:keepNext w:val="0"/>
        <w:keepLines w:val="0"/>
        <w:pageBreakBefore w:val="0"/>
        <w:widowControl w:val="0"/>
        <w:numPr>
          <w:ilvl w:val="0"/>
          <w:numId w:val="1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DARPA/ARIA的PMs/PDs：在识别机遇、塑造项目、遴选团队和指导研究中扮演核心角色。他们的个人专业知识、经验和前瞻性视野至关重要。</w:t>
      </w:r>
    </w:p>
    <w:p w14:paraId="000000D5">
      <w:pPr>
        <w:keepNext w:val="0"/>
        <w:keepLines w:val="0"/>
        <w:pageBreakBefore w:val="0"/>
        <w:widowControl w:val="0"/>
        <w:numPr>
          <w:ilvl w:val="0"/>
          <w:numId w:val="1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中国的模式：专家推荐是关键环节。项目专员（项目管理中心人员）全程参与遴选和管理。多阶段评审过程高度依赖专家输入和管理中心的综合评议。这表明中国采用了一种专家驱动，但相比DARPA模式更为分布式、流程化的判断体系。</w:t>
      </w:r>
    </w:p>
    <w:p w14:paraId="000000D6">
      <w:pPr>
        <w:keepNext w:val="0"/>
        <w:keepLines w:val="0"/>
        <w:pageBreakBefore w:val="0"/>
        <w:widowControl w:val="0"/>
        <w:numPr>
          <w:ilvl w:val="0"/>
          <w:numId w:val="1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ERC的专家组：由顶尖科学家组成，基于卓越性标准进行集体判断。引入叙述性简历和强调项目本身旨在引导专家组做出超越简单指标的判断。</w:t>
      </w:r>
    </w:p>
    <w:p w14:paraId="000000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（四）中国项目中的里程碑式与动态评估</w:t>
      </w:r>
    </w:p>
    <w:p w14:paraId="000000D8">
      <w:pPr>
        <w:keepNext w:val="0"/>
        <w:keepLines w:val="0"/>
        <w:pageBreakBefore w:val="0"/>
        <w:widowControl w:val="0"/>
        <w:numPr>
          <w:ilvl w:val="0"/>
          <w:numId w:val="1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这是国家重点研发计划“颠覆性技术创新”专项的一个显著特点。</w:t>
      </w:r>
    </w:p>
    <w:p w14:paraId="000000D9">
      <w:pPr>
        <w:keepNext w:val="0"/>
        <w:keepLines w:val="0"/>
        <w:pageBreakBefore w:val="0"/>
        <w:widowControl w:val="0"/>
        <w:numPr>
          <w:ilvl w:val="0"/>
          <w:numId w:val="1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评估并非一次性完成，而是贯穿项目始终，通过关键节点的检查（node inspections）和持续的优化调整来进行。</w:t>
      </w:r>
    </w:p>
    <w:p w14:paraId="000000DA">
      <w:pPr>
        <w:keepNext w:val="0"/>
        <w:keepLines w:val="0"/>
        <w:pageBreakBefore w:val="0"/>
        <w:widowControl w:val="0"/>
        <w:numPr>
          <w:ilvl w:val="0"/>
          <w:numId w:val="1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这种机制允许根据项目进展调整实施方案，对没有前景的项目及时终止，对进展良好的项目则给予滚动支持。</w:t>
      </w:r>
    </w:p>
    <w:p w14:paraId="000000DB">
      <w:pPr>
        <w:keepNext w:val="0"/>
        <w:keepLines w:val="0"/>
        <w:pageBreakBefore w:val="0"/>
        <w:widowControl w:val="0"/>
        <w:numPr>
          <w:ilvl w:val="0"/>
          <w:numId w:val="1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这体现了一种主动的、持续的过程管理和评估理念，而非传统拨款项目通常只有立项评审和结题验收。日本Moonshot计划的阶段性关卡（stage-gates）也体现了类似的哲学。</w:t>
      </w:r>
    </w:p>
    <w:p w14:paraId="000000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评估非共识技术的根本挑战在于，如何在需要严谨评估的同时，认识到真正新颖的想法可能缺乏传统的验证（如初步数据、同行共识）。不同的体系给出了不同的解决方案：或者赋予个体专家极大的判断权（如PMs），或者调整集体判断机制以容纳非传统（如ERC的专家组+叙述性材料），或者采用迭代式的、有管理的专家评审流程（如中国的模式）。每种体系都代表了在评估过程中处理“既定知识（共识）”与“激进创新（非共识）”之间内在张力的一种不同尝试。</w:t>
      </w:r>
    </w:p>
    <w:p w14:paraId="000000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无论采用何种方法，评估“潜在影响”（回答“谁在乎？”的问题，考量战略价值、社会效益等）与新颖性、可行性一样，都是普遍关注的核心要素。然而，“影响”的具体定义和权重会因资助机构的使命（国防、能源、科学前沿、经济发展等）而显著不同，这决定了哪些类型的颠覆性想法会得到优先支持。评估过程并非与使命无关，它实际上是在主动筛选符合资助方特定目标的颠覆性创新。</w:t>
      </w:r>
    </w:p>
    <w:p w14:paraId="000000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中国采用的动态、里程碑式评估方法，是向主动项目组合管理迈出的重要一步，与DARPA和Moonshot计划的一些实践相似。相比于传统的、只有最终评估的固定期限拨款项目，这种方法能够更好地应对颠覆性研发的高度不确定性，允许根据不断出现的研究结果进行路线修正和资源再分配，提高了灵活性和适应性。</w:t>
      </w:r>
    </w:p>
    <w:p w14:paraId="000000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b/>
          <w:i w:val="0"/>
          <w:color w:val="1B1C1D"/>
          <w:sz w:val="24"/>
          <w:szCs w:val="24"/>
        </w:rPr>
      </w:pPr>
      <w:r>
        <w:rPr>
          <w:rFonts w:ascii="仿宋_GB2312" w:hAnsi="仿宋_GB2312" w:eastAsia="仿宋_GB2312" w:cs="Google Sans Text"/>
          <w:b w:val="0"/>
          <w:i w:val="0"/>
          <w:color w:val="1B1C1D"/>
          <w:sz w:val="32"/>
          <w:szCs w:val="24"/>
          <w:rtl w:val="0"/>
        </w:rPr>
        <w:t>表3：非共识/颠覆性/HRHR研究评估方法比较</w:t>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560"/>
        <w:gridCol w:w="1560"/>
        <w:gridCol w:w="1560"/>
        <w:gridCol w:w="1560"/>
        <w:gridCol w:w="1560"/>
        <w:gridCol w:w="1560"/>
      </w:tblGrid>
      <w:tr w14:paraId="03DF33C9">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b/>
                <w:i w:val="0"/>
                <w:color w:val="1B1C1D"/>
                <w:sz w:val="20"/>
                <w:szCs w:val="20"/>
                <w:shd w:val="clear" w:fill="auto"/>
              </w:rPr>
            </w:pPr>
            <w:r>
              <w:rPr>
                <w:rFonts w:ascii="Google Sans Text" w:hAnsi="Google Sans Text" w:eastAsia="Google Sans Text" w:cs="Google Sans Text"/>
                <w:b/>
                <w:i w:val="0"/>
                <w:color w:val="1B1C1D"/>
                <w:sz w:val="20"/>
                <w:szCs w:val="20"/>
                <w:shd w:val="clear" w:fill="auto"/>
                <w:rtl w:val="0"/>
              </w:rPr>
              <w:t>机构/项目</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b/>
                <w:i w:val="0"/>
                <w:color w:val="1B1C1D"/>
                <w:sz w:val="20"/>
                <w:szCs w:val="20"/>
                <w:shd w:val="clear" w:fill="auto"/>
              </w:rPr>
            </w:pPr>
            <w:r>
              <w:rPr>
                <w:rFonts w:ascii="Google Sans Text" w:hAnsi="Google Sans Text" w:eastAsia="Google Sans Text" w:cs="Google Sans Text"/>
                <w:b/>
                <w:i w:val="0"/>
                <w:color w:val="1B1C1D"/>
                <w:sz w:val="20"/>
                <w:szCs w:val="20"/>
                <w:shd w:val="clear" w:fill="auto"/>
                <w:rtl w:val="0"/>
              </w:rPr>
              <w:t>主要评估者</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b/>
                <w:i w:val="0"/>
                <w:color w:val="1B1C1D"/>
                <w:sz w:val="20"/>
                <w:szCs w:val="20"/>
                <w:shd w:val="clear" w:fill="auto"/>
              </w:rPr>
            </w:pPr>
            <w:r>
              <w:rPr>
                <w:rFonts w:ascii="Google Sans Text" w:hAnsi="Google Sans Text" w:eastAsia="Google Sans Text" w:cs="Google Sans Text"/>
                <w:b/>
                <w:i w:val="0"/>
                <w:color w:val="1B1C1D"/>
                <w:sz w:val="20"/>
                <w:szCs w:val="20"/>
                <w:shd w:val="clear" w:fill="auto"/>
                <w:rtl w:val="0"/>
              </w:rPr>
              <w:t>关键标准侧重</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b/>
                <w:i w:val="0"/>
                <w:color w:val="1B1C1D"/>
                <w:sz w:val="20"/>
                <w:szCs w:val="20"/>
                <w:shd w:val="clear" w:fill="auto"/>
              </w:rPr>
            </w:pPr>
            <w:r>
              <w:rPr>
                <w:rFonts w:ascii="Google Sans Text" w:hAnsi="Google Sans Text" w:eastAsia="Google Sans Text" w:cs="Google Sans Text"/>
                <w:b/>
                <w:i w:val="0"/>
                <w:color w:val="1B1C1D"/>
                <w:sz w:val="20"/>
                <w:szCs w:val="20"/>
                <w:shd w:val="clear" w:fill="auto"/>
                <w:rtl w:val="0"/>
              </w:rPr>
              <w:t>初步数据要求</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b/>
                <w:i w:val="0"/>
                <w:color w:val="1B1C1D"/>
                <w:sz w:val="20"/>
                <w:szCs w:val="20"/>
                <w:shd w:val="clear" w:fill="auto"/>
              </w:rPr>
            </w:pPr>
            <w:r>
              <w:rPr>
                <w:rFonts w:ascii="Google Sans Text" w:hAnsi="Google Sans Text" w:eastAsia="Google Sans Text" w:cs="Google Sans Text"/>
                <w:b/>
                <w:i w:val="0"/>
                <w:color w:val="1B1C1D"/>
                <w:sz w:val="20"/>
                <w:szCs w:val="20"/>
                <w:shd w:val="clear" w:fill="auto"/>
                <w:rtl w:val="0"/>
              </w:rPr>
              <w:t>风险处理</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b/>
                <w:i w:val="0"/>
                <w:color w:val="1B1C1D"/>
                <w:sz w:val="20"/>
                <w:szCs w:val="20"/>
                <w:shd w:val="clear" w:fill="auto"/>
              </w:rPr>
            </w:pPr>
            <w:r>
              <w:rPr>
                <w:rFonts w:ascii="Google Sans Text" w:hAnsi="Google Sans Text" w:eastAsia="Google Sans Text" w:cs="Google Sans Text"/>
                <w:b/>
                <w:i w:val="0"/>
                <w:color w:val="1B1C1D"/>
                <w:sz w:val="20"/>
                <w:szCs w:val="20"/>
                <w:shd w:val="clear" w:fill="auto"/>
                <w:rtl w:val="0"/>
              </w:rPr>
              <w:t>独特之处</w:t>
            </w:r>
          </w:p>
        </w:tc>
      </w:tr>
      <w:tr w14:paraId="40A618C2">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DARPA(美国)</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项目经理(PMs)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海尔梅尔灵魂之问(任务契合度、影响、新颖性、可行性)</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低/非必需</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整合于项目组合管理，高风险是常态</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海尔梅尔灵魂之问评估框架</w:t>
            </w:r>
          </w:p>
        </w:tc>
      </w:tr>
      <w:tr w14:paraId="01EB4FAE">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ERC(欧盟)</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同行评议专家组</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科学卓越性(项目开创性/雄心/可行性+PI能力/创造力)</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强调项目本身，弱化过度依赖</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鼓励高风险/高回报，作为项目特征</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叙述性CV，不鼓励JIF，唯一标准是卓越性</w:t>
            </w:r>
          </w:p>
        </w:tc>
      </w:tr>
      <w:tr w14:paraId="663BE0DA">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中国颠覆性技术专项</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中心专员/专家/中心评议</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战略价值、颠覆潜力(场景/需求/路线/产权)、非共识性</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明确摒弃传统指标（如过往业绩）</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动态管理、滚动支持、尽职免责机制</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梯度布局、多渠道发现、迭代式论证、动态评估</w:t>
            </w:r>
          </w:p>
        </w:tc>
      </w:tr>
      <w:tr w14:paraId="50046E74">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NSFC原创探索计划(中国)</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同行评议专家(经改革)</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原创性、探索性、科学价值</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可能较低/非必需</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明确支持高风险探索</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强调自由探索、原创思想</w:t>
            </w:r>
          </w:p>
        </w:tc>
      </w:tr>
      <w:tr w14:paraId="3DE4E37D">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ARPA-E(美国)</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同行评议专家+项目主任</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技术推动+市场拉动、变革潜力</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可能较低</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评估风险，允许申请人反驳</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申请人反驳机制，T2M考量</w:t>
            </w:r>
          </w:p>
        </w:tc>
      </w:tr>
      <w:tr w14:paraId="0E7A5C80">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ARIA(英国)</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项目主任(PDs)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突破潜力、机遇空间契合度</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可能较低</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明确接受高失败率</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项目主任主导，高度自主</w:t>
            </w:r>
          </w:p>
        </w:tc>
      </w:tr>
      <w:tr w14:paraId="15F90C11">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Moonshot(日本)</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项目总监(PDs)/项目经理(PMs)/专家</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宏大目标契合度、创新性</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可能较低</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组合管理、阶段性评估、容忍失败</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400" w:firstLineChars="200"/>
              <w:jc w:val="both"/>
              <w:textAlignment w:val="auto"/>
              <w:rPr>
                <w:rFonts w:ascii="Google Sans Text" w:hAnsi="Google Sans Text" w:eastAsia="Google Sans Text" w:cs="Google Sans Text"/>
                <w:i w:val="0"/>
                <w:color w:val="1B1C1D"/>
                <w:sz w:val="20"/>
                <w:szCs w:val="20"/>
                <w:shd w:val="clear" w:fill="auto"/>
              </w:rPr>
            </w:pPr>
            <w:r>
              <w:rPr>
                <w:rFonts w:ascii="Google Sans Text" w:hAnsi="Google Sans Text" w:eastAsia="Google Sans Text" w:cs="Google Sans Text"/>
                <w:i w:val="0"/>
                <w:color w:val="1B1C1D"/>
                <w:sz w:val="20"/>
                <w:szCs w:val="20"/>
                <w:shd w:val="clear" w:fill="auto"/>
                <w:rtl w:val="0"/>
              </w:rPr>
              <w:t>聚焦宏大社会挑战，跨部门协调</w:t>
            </w:r>
          </w:p>
        </w:tc>
      </w:tr>
    </w:tbl>
    <w:p w14:paraId="000001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b/>
          <w:i w:val="0"/>
          <w:color w:val="1B1C1D"/>
          <w:sz w:val="24"/>
          <w:szCs w:val="24"/>
        </w:rPr>
      </w:pPr>
      <w:r>
        <w:rPr>
          <w:rFonts w:ascii="黑体" w:hAnsi="黑体" w:eastAsia="黑体"/>
          <w:b w:val="0"/>
          <w:sz w:val="32"/>
        </w:rPr>
        <w:t>六、已资助突破性成果案例研究</w:t>
      </w:r>
    </w:p>
    <w:p w14:paraId="000001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评估非传统资助模式的有效性，最终要看其是否成功孵化或转化了颠覆性技术。</w:t>
      </w:r>
    </w:p>
    <w:p w14:paraId="000001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（一）国际里程碑式成功案例</w:t>
      </w:r>
    </w:p>
    <w:p w14:paraId="00000113">
      <w:pPr>
        <w:keepNext w:val="0"/>
        <w:keepLines w:val="0"/>
        <w:pageBreakBefore w:val="0"/>
        <w:widowControl w:val="0"/>
        <w:numPr>
          <w:ilvl w:val="0"/>
          <w:numId w:val="1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DARPA：其资助对现代科技产生了深远影响。许多如今无处不在的技术，其源头都可以追溯到DARPA的早期投入，包括互联网（源于ARPANET）、全球定位系统（GPS，源于Transit卫星导航项目）、隐形飞机技术（源于Have Blue验证机）、武装无人机（如“捕食者”无人机的前身）、自动化语音识别（苹果Siri的技术源头之一）、个人计算机的兴起（部分归因于DARPA项目导致的人才流动）、早期mRNA疫苗技术的投资、机器人技术（如波士顿动力公司的BigDog机器人、iRobot公司的PackBot军用机器人和Roomba扫地机器人）、自动驾驶汽车（通过其举办的Grand Challenge系列挑战赛推动）、现代地震学（源于核试验探测网络建设）以及M-16步枪的早期推广等。其SBIR/STTR计划也孵化了大量成功的小企业技术。</w:t>
      </w:r>
    </w:p>
    <w:p w14:paraId="00000114">
      <w:pPr>
        <w:keepNext w:val="0"/>
        <w:keepLines w:val="0"/>
        <w:pageBreakBefore w:val="0"/>
        <w:widowControl w:val="0"/>
        <w:numPr>
          <w:ilvl w:val="0"/>
          <w:numId w:val="1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ARPA-E：专注于能源领域，也已产出显著成果。成功案例包括Makani Power公司的高空风能发电技术（后被Google X收购，并与壳牌合作）、Sunfolding公司的创新太阳能跟踪器技术、Volute Inc.的可变形天然气储罐技术（已授权给Westport和Linamar公司）、Kestrel Materials公司研发的自适应隔热纺织材料、LongPath Technologies公司的甲烷泄漏监测技术、Natron Energy公司的钠离子电池（已在美国建立首个商业规模生产设施）以及Sila Nanotechnologies公司的高性能电池材料等。ARPA-E通过追踪后续私人投资（已超过126亿美元）和成功的退出事件（截至2025年2月有34起，总估值达222亿美元）来量化其影响力。其资助的众多项目显示了其活跃的项目组合。</w:t>
      </w:r>
    </w:p>
    <w:p w14:paraId="00000115">
      <w:pPr>
        <w:keepNext w:val="0"/>
        <w:keepLines w:val="0"/>
        <w:pageBreakBefore w:val="0"/>
        <w:widowControl w:val="0"/>
        <w:numPr>
          <w:ilvl w:val="0"/>
          <w:numId w:val="1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ERC：作为欧洲基础研究的旗舰资助机构，ERC的资助与多项重大科学荣誉相关联，其资助者中产生了6位诺贝尔奖得主和3位菲尔兹奖得主。例如，2016年诺贝尔化学奖得主Ben Feringa教授关于分子马达的研究就曾获得两项ERC Advanced Grants资助。对已完成ERC项目的评估显示，约71%的项目实现了科学突破或重大进展。ERC资助者展现出活跃的专利申请和商业化活动，包括技术授权和创办初创公司，尤其是在获得PoC概念验证基金支持后更为显著。具体研究案例包括对极化子（polaron）的研究、双星系统流体动力学研究、柔性电池技术（Valeria Nicolosi）、改进残疾人居住空间设计方法（Ann Heylighen）等。</w:t>
      </w:r>
    </w:p>
    <w:p w14:paraId="00000116">
      <w:pPr>
        <w:keepNext w:val="0"/>
        <w:keepLines w:val="0"/>
        <w:pageBreakBefore w:val="0"/>
        <w:widowControl w:val="0"/>
        <w:numPr>
          <w:ilvl w:val="0"/>
          <w:numId w:val="1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Moonshot(日本)：该计划于2020年正式启动，相对较新，因此产生重大、广为人知的突破性成果尚需时日。其设定的目标极为宏大，着眼于2050年，涵盖了赛博格与化身技术（Cybernetic Avatars）、与人类共同进化的AI机器人、超早期疾病预测与干预、容错通用量子计算机、天气控制、聚变能源等领域。目前可见的早期产出主要是一些关于量子计算进展的新闻稿、AI与机器人实验室项目展示，以及一些概念性的目标示例，如人工光合作用、量子密码通信卫星等。</w:t>
      </w:r>
    </w:p>
    <w:p w14:paraId="000001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（二）中国资助计划的新兴实例</w:t>
      </w:r>
    </w:p>
    <w:p w14:paraId="00000118">
      <w:pPr>
        <w:keepNext w:val="0"/>
        <w:keepLines w:val="0"/>
        <w:pageBreakBefore w:val="0"/>
        <w:widowControl w:val="0"/>
        <w:numPr>
          <w:ilvl w:val="0"/>
          <w:numId w:val="1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在所提供的研究材料中，直接归因于中国新设立的国家重点研发计划“颠覆性技术创新”专项或NSFC原创探索计划的具体突破性成果案例信息有限。</w:t>
      </w:r>
    </w:p>
    <w:p w14:paraId="00000119">
      <w:pPr>
        <w:keepNext w:val="0"/>
        <w:keepLines w:val="0"/>
        <w:pageBreakBefore w:val="0"/>
        <w:widowControl w:val="0"/>
        <w:numPr>
          <w:ilvl w:val="0"/>
          <w:numId w:val="1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一个可识别的例子是，苏州博生吉医药科技有限公司在第二届全国颠覆性技术创新大赛中获得了领域赛优胜项目奖，但具体技术内容未详述。</w:t>
      </w:r>
    </w:p>
    <w:p w14:paraId="0000011A">
      <w:pPr>
        <w:keepNext w:val="0"/>
        <w:keepLines w:val="0"/>
        <w:pageBreakBefore w:val="0"/>
        <w:widowControl w:val="0"/>
        <w:numPr>
          <w:ilvl w:val="0"/>
          <w:numId w:val="1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上海市的颠覆性技术专项提到了其关注的重点领域之一是集成电路。</w:t>
      </w:r>
    </w:p>
    <w:p w14:paraId="0000011B">
      <w:pPr>
        <w:keepNext w:val="0"/>
        <w:keepLines w:val="0"/>
        <w:pageBreakBefore w:val="0"/>
        <w:widowControl w:val="0"/>
        <w:numPr>
          <w:ilvl w:val="0"/>
          <w:numId w:val="1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虽然中国的VC/PE在科技领域，特别是硬科技领域投资活跃并取得了一些成功，但将这些成功直接归因于特定的非共识技术政府资助项目，在现有信息中难以明确建立联系。</w:t>
      </w:r>
    </w:p>
    <w:p w14:paraId="0000011C">
      <w:pPr>
        <w:keepNext w:val="0"/>
        <w:keepLines w:val="0"/>
        <w:pageBreakBefore w:val="0"/>
        <w:widowControl w:val="0"/>
        <w:numPr>
          <w:ilvl w:val="0"/>
          <w:numId w:val="1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需要指出的是：由于中国专门的颠覆性技术资助计划设立时间较短，且颠覆性研发本身周期漫长，目前缺乏如DARPA或ERC那样经过时间沉淀、广为人知的标志性成功案例是符合预期的。未来需要持续追踪这些计划的产出和影响。</w:t>
      </w:r>
    </w:p>
    <w:p w14:paraId="000001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从这些案例中可以看出，资助非共识颠覆性技术是一项长期投入。像互联网、GPS这样的重大成果，是在DARPA初步资助后数十年，并经过公共和私营部门多方参与的复杂演化过程才最终形成的。衡量这类资助计划的成功需要耐心，不能只看短期产出，而要关注其最终是否带来了系统性的影响。</w:t>
      </w:r>
    </w:p>
    <w:p w14:paraId="000001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成功的定义也因机构而异。DARPA强调对军事和技术优势的贡献；ARPA-E关注能源技术的商业化和市场影响；ERC着重于科学突破和拓展知识前沿；Moonshot计划瞄准解决社会宏大挑战；而中国的专项则旨在抢占战略制高点和发展新质生产力。这些不同的目标决定了哪些成果会被视为“成功”。</w:t>
      </w:r>
    </w:p>
    <w:p w14:paraId="000001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目前公开信息中缺少源自中国新设立的颠覆性技术专项的重大突破案例，这更可能反映了计划的新颖性和研发所需的时间滞后，而非缺乏活动。其结构化的项目发现、梯度资助和动态管理机制表明，一个旨在培育此类技术的管道正在建设中。</w:t>
      </w:r>
    </w:p>
    <w:p w14:paraId="000001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b/>
          <w:i w:val="0"/>
          <w:color w:val="1B1C1D"/>
          <w:sz w:val="24"/>
          <w:szCs w:val="24"/>
        </w:rPr>
      </w:pPr>
      <w:r>
        <w:rPr>
          <w:rFonts w:ascii="黑体" w:hAnsi="黑体" w:eastAsia="黑体"/>
          <w:b w:val="0"/>
          <w:sz w:val="32"/>
        </w:rPr>
        <w:t>七、国际与中国模式的比较分析</w:t>
      </w:r>
    </w:p>
    <w:p w14:paraId="000001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将国际主要模式与中国新兴的体系进行对比，可以揭示两者在战略目标、制度设计、评估哲学和风险偏好等方面的异同点、优势与挑战。</w:t>
      </w:r>
    </w:p>
    <w:p w14:paraId="000001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（一）战略目标与优先领域</w:t>
      </w:r>
    </w:p>
    <w:p w14:paraId="00000123">
      <w:pPr>
        <w:keepNext w:val="0"/>
        <w:keepLines w:val="0"/>
        <w:pageBreakBefore w:val="0"/>
        <w:widowControl w:val="0"/>
        <w:numPr>
          <w:ilvl w:val="0"/>
          <w:numId w:val="1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国际：目标呈现多样性。美国模式中，DARPA聚焦国防安全，ARPA-E聚焦能源与气候变化；欧盟ERC的目标是保持欧洲在前沿科学研究领域的领导地位；英国ARIA旨在推动广泛的科学技术突破；日本Moonshot计划则着眼于解决国家面临的重大社会挑战。</w:t>
      </w:r>
    </w:p>
    <w:p w14:paraId="00000124">
      <w:pPr>
        <w:keepNext w:val="0"/>
        <w:keepLines w:val="0"/>
        <w:pageBreakBefore w:val="0"/>
        <w:widowControl w:val="0"/>
        <w:numPr>
          <w:ilvl w:val="0"/>
          <w:numId w:val="17"/>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中国：目标高度聚焦于国家战略需求。明确强调实现高水平科技自立自强（隐含于对国家高科技基金的描述），抢占科技战略制高点，发展新质生产力，服务国家战略和经济社会发展需求。相比国际模式的多样化目标，中国模式显得更具集中性和国家战略导向性。</w:t>
      </w:r>
    </w:p>
    <w:p w14:paraId="000001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（二）制度设计与资助机制</w:t>
      </w:r>
    </w:p>
    <w:p w14:paraId="00000126">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国际：存在多种制度模式。有相对独立的、自主运作的机构（如DARPA,ARPA-E,ARIA）；有由科学共同体代表管理的理事会模式（如ERC）；也有跨部门、多机构协调的模式（如日本Moonshot）。在项目遴选和管理上，ARPA类和Moonshot模式依赖项目经理/总监，而ERC依赖同行专家组。资助工具多样，包括合同、拨款、挑战赛、种子基金等。</w:t>
      </w:r>
    </w:p>
    <w:p w14:paraId="00000127">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中国：正在构建一个专门的体系，以国家重点研发计划下的“颠覆性技术创新”专项为核心，通过专业化的中心进行管理。同时，NSFC在基础和探索性研究中扮演角色。地方政府积极跟进，复制国家模式（如上海）。国家资本在风险投资领域扮演着极其重要的角色。采用梯度资助、创新大赛发现、专家推荐等机制。</w:t>
      </w:r>
    </w:p>
    <w:p w14:paraId="000001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（三）评估哲学与风险偏好</w:t>
      </w:r>
    </w:p>
    <w:p w14:paraId="00000129">
      <w:pPr>
        <w:keepNext w:val="0"/>
        <w:keepLines w:val="0"/>
        <w:pageBreakBefore w:val="0"/>
        <w:widowControl w:val="0"/>
        <w:numPr>
          <w:ilvl w:val="0"/>
          <w:numId w:val="19"/>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国际：各模式均明确表示愿意承担高风险。但在评估哲学上存在分歧：DARPA采用基于海尔梅尔灵魂之问的、强调任务影响的专家判断；ERC坚守基于同行评议的科学卓越性标准；Moonshot则关注项目与宏大社会挑战目标的契合度。</w:t>
      </w:r>
    </w:p>
    <w:p w14:paraId="0000012A">
      <w:pPr>
        <w:keepNext w:val="0"/>
        <w:keepLines w:val="0"/>
        <w:pageBreakBefore w:val="0"/>
        <w:widowControl w:val="0"/>
        <w:numPr>
          <w:ilvl w:val="0"/>
          <w:numId w:val="19"/>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中国：同样体现出高风险偏好，聚焦于“非共识”项目并设立了尽职免责机制。评估明确摒弃传统指标，强调战略潜力、新颖性、颠覆性。采用主动的、动态的、基于里程碑的评估方式。似乎融合了专家判断（通过推荐和论证环节）与结构化的流程管理。</w:t>
      </w:r>
    </w:p>
    <w:p w14:paraId="000001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（四）优势、劣势与独特挑战</w:t>
      </w:r>
    </w:p>
    <w:p w14:paraId="0000012C">
      <w:pPr>
        <w:keepNext w:val="0"/>
        <w:keepLines w:val="0"/>
        <w:pageBreakBefore w:val="0"/>
        <w:widowControl w:val="0"/>
        <w:numPr>
          <w:ilvl w:val="0"/>
          <w:numId w:val="2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国际模式优势：拥有经过验证的成功记录（如DARPA,ERC）；模式多样，可满足不同需求；拥有强大的基础科学根基（尤其ERC）；建立了较成熟的技术转移机制（如ARPA-E）。</w:t>
      </w:r>
    </w:p>
    <w:p w14:paraId="0000012D">
      <w:pPr>
        <w:keepNext w:val="0"/>
        <w:keepLines w:val="0"/>
        <w:pageBreakBefore w:val="0"/>
        <w:widowControl w:val="0"/>
        <w:numPr>
          <w:ilvl w:val="0"/>
          <w:numId w:val="2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国际模式劣势/挑战：大型体系（如欧盟）可能存在官僚主义；基础科学成果向应用的转化仍是挑战（ERC面临的问题）；保持机构的灵活性和敏捷性；预算可能受到政治因素影响。</w:t>
      </w:r>
    </w:p>
    <w:p w14:paraId="0000012E">
      <w:pPr>
        <w:keepNext w:val="0"/>
        <w:keepLines w:val="0"/>
        <w:pageBreakBefore w:val="0"/>
        <w:widowControl w:val="0"/>
        <w:numPr>
          <w:ilvl w:val="0"/>
          <w:numId w:val="2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中国模式优势：强大的国家意志和资源动员能力；快速建立和发展专门的资助体系；有潜力实现跨计划、跨部门以及与国有资本的协同；战略目标清晰。</w:t>
      </w:r>
    </w:p>
    <w:p w14:paraId="0000012F">
      <w:pPr>
        <w:keepNext w:val="0"/>
        <w:keepLines w:val="0"/>
        <w:pageBreakBefore w:val="0"/>
        <w:widowControl w:val="0"/>
        <w:numPr>
          <w:ilvl w:val="0"/>
          <w:numId w:val="2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中国模式劣势/挑战：新体系的效果尚待时间检验；国有主导的模式可能存在效率问题（如提及的“大基金”问题）；国家战略目标可能过度干预市场导向的风险投资决策；如何确保遴选出真正具有颠覆性的“非共识”思想，而非仅仅是符合导向的项目；如何在实践中真正落实风险容忍文化（尽职免责机制之外）；相比国际顶尖机构，在项目信息和成果方面的透明度有待提高。</w:t>
      </w:r>
    </w:p>
    <w:p w14:paraId="000001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通过对比可以发现，最根本的差异在于其运作哲学和控制中心。西方模式（特别是美英的ARPA类机构和日本的Moonshot计划）倾向于在相对自主的机构内部，赋予项目经理/总监权力来驱动任务导向的研究。ERC模式则赋予通过同行评议选拔出的研究者个体以探索的自由。中国的模式则显得更具顶层设计色彩，通过国家计划进行指导，由专业化中心进行管理，并将国家战略深度融入公共资助和风险投资生态系统。</w:t>
      </w:r>
    </w:p>
    <w:p w14:paraId="000001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中国的路径可以被视为一种混合模式，试图吸收目标导向、高风险资助模式（如ARPA）的优点，但将其置于一个中央规划的科技体系框架内。这种模式的成功将取决于能否有效平衡自上而下的战略引导与自下而上的、颠覆性创新所必需的创造力及容错空间，同时还要驾驭好国家力量介入市场（特别是VC领域）所带来的复杂性。</w:t>
      </w:r>
    </w:p>
    <w:p w14:paraId="000001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b/>
          <w:i w:val="0"/>
          <w:color w:val="1B1C1D"/>
          <w:sz w:val="24"/>
          <w:szCs w:val="24"/>
        </w:rPr>
      </w:pPr>
      <w:r>
        <w:rPr>
          <w:rFonts w:ascii="黑体" w:hAnsi="黑体" w:eastAsia="黑体"/>
          <w:b w:val="0"/>
          <w:sz w:val="32"/>
        </w:rPr>
        <w:t>八、风险管理与容错机制策略</w:t>
      </w:r>
    </w:p>
    <w:p w14:paraId="000001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资助本质上具有高风险、高不确定性的非共识颠覆性技术，必须辅以有效的风险管理和容错机制。</w:t>
      </w:r>
    </w:p>
    <w:p w14:paraId="000001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（一）项目组合（Portfolio）方法分散风险</w:t>
      </w:r>
    </w:p>
    <w:p w14:paraId="00000135">
      <w:pPr>
        <w:keepNext w:val="0"/>
        <w:keepLines w:val="0"/>
        <w:pageBreakBefore w:val="0"/>
        <w:widowControl w:val="0"/>
        <w:numPr>
          <w:ilvl w:val="0"/>
          <w:numId w:val="2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核心思想是资助一系列多元化的项目，接受其中一部分项目会失败的现实。这种思想隐含在那些由PM/PD管理大量项目的模式中（如DARPA,Moonshot）。</w:t>
      </w:r>
    </w:p>
    <w:p w14:paraId="00000136">
      <w:pPr>
        <w:keepNext w:val="0"/>
        <w:keepLines w:val="0"/>
        <w:pageBreakBefore w:val="0"/>
        <w:widowControl w:val="0"/>
        <w:numPr>
          <w:ilvl w:val="0"/>
          <w:numId w:val="2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加拿大NSERC明确建议，应在项目组合的层面上管理风险与回报，而不仅仅是针对单个项目进行评估。</w:t>
      </w:r>
    </w:p>
    <w:p w14:paraId="00000137">
      <w:pPr>
        <w:keepNext w:val="0"/>
        <w:keepLines w:val="0"/>
        <w:pageBreakBefore w:val="0"/>
        <w:widowControl w:val="0"/>
        <w:numPr>
          <w:ilvl w:val="0"/>
          <w:numId w:val="2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中国的“育种-育苗-育材”梯度布局也可以视为一种跨越不同成熟度阶段的项目组合策略。</w:t>
      </w:r>
    </w:p>
    <w:p w14:paraId="000001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（二）阶段性评估、动态调整与灵活性</w:t>
      </w:r>
    </w:p>
    <w:p w14:paraId="00000139">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阶段性关卡（Stage-Gating）：在项目的关键节点设立正式的评审点，以决定项目是否继续、调整或终止。日本Moonshot计划采用此方法。</w:t>
      </w:r>
    </w:p>
    <w:p w14:paraId="0000013A">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动态调整/里程碑管理：中国的颠覆性技术专项采用基于里程碑的检查和动态优化机制，允许根据进展调整计划或终止项目。</w:t>
      </w:r>
    </w:p>
    <w:p w14:paraId="0000013B">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灵活性：允许研究团队在项目执行过程中根据新出现的问题或想法调整研究路线至关重要。ERC的资助被认为具有较高的灵活性。DARPA的项目经理制也天然地提供了灵活性。ARPA-E会逐步淘汰前景不佳的项目。</w:t>
      </w:r>
    </w:p>
    <w:p w14:paraId="0000013C">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快速/早期资助机制：如DARPA的Disruptioneering和Seedlings、ARIA的Opportunity Seeds、ARPA-E的IDEAS计划，允许在投入大量资源之前快速测试想法的可行性，起到了早期风险过滤器的作用。</w:t>
      </w:r>
    </w:p>
    <w:p w14:paraId="000001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（三）培育对失败的接受度</w:t>
      </w:r>
    </w:p>
    <w:p w14:paraId="0000013E">
      <w:pPr>
        <w:keepNext w:val="0"/>
        <w:keepLines w:val="0"/>
        <w:pageBreakBefore w:val="0"/>
        <w:widowControl w:val="0"/>
        <w:numPr>
          <w:ilvl w:val="0"/>
          <w:numId w:val="2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明确的授权与定位：像DARPA、ARIA、Moonshot这样的机构，在其使命和定位中就明确包含了对高风险和潜在失败的接受。</w:t>
      </w:r>
    </w:p>
    <w:p w14:paraId="0000013F">
      <w:pPr>
        <w:keepNext w:val="0"/>
        <w:keepLines w:val="0"/>
        <w:pageBreakBefore w:val="0"/>
        <w:widowControl w:val="0"/>
        <w:numPr>
          <w:ilvl w:val="0"/>
          <w:numId w:val="2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评估重点的转变：将评估重心从确保成功转向评估潜在影响和新颖性，有助于降低对失败的过度担忧。</w:t>
      </w:r>
    </w:p>
    <w:p w14:paraId="00000140">
      <w:pPr>
        <w:keepNext w:val="0"/>
        <w:keepLines w:val="0"/>
        <w:pageBreakBefore w:val="0"/>
        <w:widowControl w:val="0"/>
        <w:numPr>
          <w:ilvl w:val="0"/>
          <w:numId w:val="2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正式的容错机制：中国颠覆性技术专项设立的尽职免责机制，是减少科研人员失败恐惧的具体制度性措施。</w:t>
      </w:r>
    </w:p>
    <w:p w14:paraId="00000141">
      <w:pPr>
        <w:keepNext w:val="0"/>
        <w:keepLines w:val="0"/>
        <w:pageBreakBefore w:val="0"/>
        <w:widowControl w:val="0"/>
        <w:numPr>
          <w:ilvl w:val="0"/>
          <w:numId w:val="2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文化建设：克服评审专家组的保守主义和研究人员规避风险的倾向，需要培育一种鼓励承担经过计算的风险（calculated risks）的文化氛围。</w:t>
      </w:r>
    </w:p>
    <w:p w14:paraId="000001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对非共识颠覆性技术进行有效的风险管理，其核心在于主动的项目组合管理，而非试图规避所有风险。这涉及到进行多元化投资，密切监控进展，愿意及早终止失败的项目（通过阶段性评估或动态调整），并将资源集中于有成功希望的项目上。</w:t>
      </w:r>
    </w:p>
    <w:p w14:paraId="000001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设立正式的机制（如阶段性关卡、免责条款）是必要的，但仅有制度是不够的。建立一种真正容忍失败并从中学习的文化对于鼓励这些资助计划所寻求的大胆、非共识想法至关重要。这需要领导层持续发出支持冒险的信号，并将容错理念融入评估和管理的实践中。</w:t>
      </w:r>
    </w:p>
    <w:p w14:paraId="000001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b/>
          <w:i w:val="0"/>
          <w:color w:val="1B1C1D"/>
          <w:sz w:val="24"/>
          <w:szCs w:val="24"/>
        </w:rPr>
      </w:pPr>
      <w:r>
        <w:rPr>
          <w:rFonts w:ascii="黑体" w:hAnsi="黑体" w:eastAsia="黑体"/>
          <w:b w:val="0"/>
          <w:sz w:val="32"/>
        </w:rPr>
        <w:t>九、结论与战略思考</w:t>
      </w:r>
    </w:p>
    <w:p w14:paraId="000001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（一）全球与国内实践的关键发现</w:t>
      </w:r>
    </w:p>
    <w:p w14:paraId="000001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全球范围内，专门资助高风险、非共识颠覆性技术的趋势日益明显，这被视为获取未来竞争优势的关键。国际上形成了多种模式，主要可分为以美国ARPA类机构为代表的任务导向、项目经理负责制模式，和以欧盟ERC为代表的研究者驱动、卓越科学标准模式，以及日本Moonshot计划的宏大挑战驱动模式。这些模式在目标设定、组织结构、评估哲学（专家判断vs.同行评议）、资助工具和风险管理上各有侧重。</w:t>
      </w:r>
    </w:p>
    <w:p w14:paraId="000001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rPr>
          <w:rFonts w:ascii="Google Sans Text" w:hAnsi="Google Sans Text" w:eastAsia="Google Sans Text" w:cs="Google Sans Text"/>
          <w:i w:val="0"/>
          <w:color w:val="1B1C1D"/>
          <w:sz w:val="24"/>
          <w:szCs w:val="24"/>
        </w:rPr>
      </w:pPr>
      <w:r>
        <w:rPr>
          <w:rFonts w:ascii="仿宋_GB2312" w:hAnsi="仿宋_GB2312" w:eastAsia="仿宋_GB2312" w:cs="Google Sans Text"/>
          <w:b w:val="0"/>
          <w:i w:val="0"/>
          <w:color w:val="1B1C1D"/>
          <w:sz w:val="32"/>
          <w:szCs w:val="24"/>
          <w:rtl w:val="0"/>
        </w:rPr>
        <w:t>中国正在快速构建和完善自身的颠覆性技术资助体系，呈现出强烈的国家战略导向。以国家重点研发计划“颠覆性技术创新”专项为核心，辅以NSFC的原创探索支持、地方政府的积极布局以及国家资本深度参与的风险投资生态，形成了独特的“中国模式”。该模式的特点包括专业化中心管理、多渠道项目发现、梯度资助、动态评估与滚动支持，以及明确摒弃传统指标、强调战略潜力的评估方法。</w:t>
      </w:r>
    </w:p>
    <w:p w14:paraId="000001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（二）对中国的潜在启示与可借鉴实践</w:t>
      </w:r>
    </w:p>
    <w:p w14:paraId="00000149">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长期视角：借鉴DARPA、ERC等机构的经验，认识到资助颠覆性技术是一项长期事业，衡量成功需要耐心，不应急于求成。</w:t>
      </w:r>
    </w:p>
    <w:p w14:paraId="0000014A">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平衡引导与探索：在强调顶层设计和战略引导的同时，思考如何为真正源于底层的、可能挑战现有范式的“非共识”思想提供空间和机会。</w:t>
      </w:r>
    </w:p>
    <w:p w14:paraId="0000014B">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完善转化机制：学习ARPA-E的T2M经验或ERC的PoC模式，加强从研究到应用的转化环节，建立更有效的对接机制。</w:t>
      </w:r>
    </w:p>
    <w:p w14:paraId="0000014C">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优化评估方法：持续探索和完善评估机制，确保真正的新颖性和潜力得到优先考虑，可借鉴叙述性简历、结构化对话（如反驳机制）等方法。</w:t>
      </w:r>
    </w:p>
    <w:p w14:paraId="0000014D">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审视国家资本角色：密切关注国家资本在VC领域的主导作用，确保其在提供“耐心资本”的同时，能够有效激发而非抑制私营部门的创新活力和市场机制的有效性。</w:t>
      </w:r>
    </w:p>
    <w:p w14:paraId="0000014E">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深化容错文化：在建立尽职免责等正式机制的基础上，进一步培育鼓励探索、宽容失败的科研文化，可能需要通过宣传、奖励导向等多方面努力。</w:t>
      </w:r>
    </w:p>
    <w:p w14:paraId="0000014F">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line="560" w:lineRule="exact"/>
        <w:ind w:left="465" w:firstLine="640" w:firstLineChars="200"/>
        <w:jc w:val="both"/>
        <w:textAlignment w:val="auto"/>
      </w:pPr>
      <w:r>
        <w:rPr>
          <w:rFonts w:ascii="仿宋_GB2312" w:hAnsi="仿宋_GB2312" w:eastAsia="仿宋_GB2312" w:cs="Google Sans Text"/>
          <w:b w:val="0"/>
          <w:i w:val="0"/>
          <w:color w:val="1B1C1D"/>
          <w:sz w:val="32"/>
          <w:szCs w:val="24"/>
          <w:rtl w:val="0"/>
        </w:rPr>
        <w:t>提升透明度：适度增加关于资助项目、进展和成果的信息透明度，有助于建立信任、促进学习和吸引国际合作。</w:t>
      </w:r>
    </w:p>
    <w:p w14:paraId="000001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1" w:firstLineChars="200"/>
        <w:jc w:val="both"/>
        <w:textAlignment w:val="auto"/>
        <w:rPr>
          <w:rFonts w:ascii="Google Sans Text" w:hAnsi="Google Sans Text" w:eastAsia="Google Sans Text" w:cs="Google Sans Text"/>
          <w:b/>
          <w:i w:val="0"/>
          <w:color w:val="1B1C1D"/>
          <w:sz w:val="24"/>
          <w:szCs w:val="24"/>
        </w:rPr>
      </w:pPr>
      <w:r>
        <w:rPr>
          <w:rFonts w:ascii="楷体_GB2312" w:hAnsi="楷体_GB2312" w:eastAsia="楷体_GB2312"/>
          <w:b/>
          <w:sz w:val="32"/>
        </w:rPr>
        <w:t>（三）资助颠覆性创新的未来展望</w:t>
      </w:r>
    </w:p>
    <w:p w14:paraId="000001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560" w:lineRule="exact"/>
        <w:ind w:firstLine="640" w:firstLineChars="200"/>
        <w:jc w:val="both"/>
        <w:textAlignment w:val="auto"/>
      </w:pPr>
      <w:r>
        <w:rPr>
          <w:rFonts w:ascii="仿宋_GB2312" w:hAnsi="仿宋_GB2312" w:eastAsia="仿宋_GB2312" w:cs="Google Sans Text"/>
          <w:b w:val="0"/>
          <w:i w:val="0"/>
          <w:color w:val="1B1C1D"/>
          <w:sz w:val="32"/>
          <w:szCs w:val="24"/>
          <w:rtl w:val="0"/>
        </w:rPr>
        <w:t>未来，围绕战略性技术领域的国际竞争预计将进一步加剧，各国可能会继续加大对颠覆性技术研发的投入。公共资金（用于早期去风险）与私人资本（用于后期规模化）之间的有效衔接将持续成为关键议题。随着人工智能等强大技术的涌现，伦理考量和负责任创新框架（如应对AI风险、防范双重用途）在颠覆性项目的遴选和管理中的重要性将日益凸显。不同国家模式的实践效果将继续为全球科技政策制定者提供经验和教训，中国快速演进的资助体系也将受到国际社会的密切关注。</w:t>
      </w:r>
    </w:p>
    <w:sectPr>
      <w:pgSz w:w="12240" w:h="15840"/>
      <w:pgMar w:top="2098" w:right="1474" w:bottom="1984" w:left="1587"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Georgia">
    <w:panose1 w:val="02040502050405090303"/>
    <w:charset w:val="00"/>
    <w:family w:val="auto"/>
    <w:pitch w:val="default"/>
    <w:sig w:usb0="00000287" w:usb1="00000000" w:usb2="00000000" w:usb3="00000000" w:csb0="2000009F" w:csb1="00000000"/>
  </w:font>
  <w:font w:name="方正小标宋简体">
    <w:panose1 w:val="02000000000000000000"/>
    <w:charset w:val="86"/>
    <w:family w:val="auto"/>
    <w:pitch w:val="default"/>
    <w:sig w:usb0="00000001" w:usb1="08000000" w:usb2="00000000" w:usb3="00000000" w:csb0="00040000" w:csb1="00000000"/>
  </w:font>
  <w:font w:name="Google Sans">
    <w:altName w:val="苹方-简"/>
    <w:panose1 w:val="00000000000000000000"/>
    <w:charset w:val="00"/>
    <w:family w:val="auto"/>
    <w:pitch w:val="default"/>
    <w:sig w:usb0="00000000" w:usb1="00000000" w:usb2="00000000" w:usb3="00000000" w:csb0="00000000" w:csb1="00000000"/>
  </w:font>
  <w:font w:name="Google Sans Text">
    <w:altName w:val="苹方-简"/>
    <w:panose1 w:val="00000000000000000000"/>
    <w:charset w:val="00"/>
    <w:family w:val="auto"/>
    <w:pitch w:val="default"/>
    <w:sig w:usb0="00000000" w:usb1="00000000" w:usb2="00000000" w:usb3="00000000" w:csb0="00000000" w:csb1="00000000"/>
  </w:font>
  <w:font w:name="仿宋_GB2312">
    <w:altName w:val="方正仿宋_GBK"/>
    <w:panose1 w:val="00000000000000000000"/>
    <w:charset w:val="00"/>
    <w:family w:val="auto"/>
    <w:pitch w:val="default"/>
    <w:sig w:usb0="00000000" w:usb1="00000000" w:usb2="00000000" w:usb3="00000000" w:csb0="00000000" w:csb1="00000000"/>
  </w:font>
  <w:font w:name="楷体_GB2312">
    <w:altName w:val="汉仪楷体简"/>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方正小标宋_GBK">
    <w:panose1 w:val="02000000000000000000"/>
    <w:charset w:val="86"/>
    <w:family w:val="auto"/>
    <w:pitch w:val="default"/>
    <w:sig w:usb0="A00002BF" w:usb1="38CF7CFA" w:usb2="00082016" w:usb3="00000000" w:csb0="00040001" w:csb1="00000000"/>
  </w:font>
  <w:font w:name="Cambria">
    <w:altName w:val="苹方-简"/>
    <w:panose1 w:val="00000000000000000000"/>
    <w:charset w:val="00"/>
    <w:family w:val="auto"/>
    <w:pitch w:val="default"/>
    <w:sig w:usb0="00000000" w:usb1="00000000" w:usb2="00000000" w:usb3="00000000" w:csb0="00000000" w:csb1="00000000"/>
  </w:font>
  <w:font w:name="FZSJ-FANGSGBTTOT">
    <w:panose1 w:val="02000000000000000000"/>
    <w:charset w:val="86"/>
    <w:family w:val="auto"/>
    <w:pitch w:val="default"/>
    <w:sig w:usb0="A00002BF" w:usb1="184F6CFA" w:usb2="00000012" w:usb3="00000000" w:csb0="00040001" w:csb1="00000000"/>
  </w:font>
  <w:font w:name="Arial">
    <w:panose1 w:val="020B0604020202090204"/>
    <w:charset w:val="00"/>
    <w:family w:val="auto"/>
    <w:pitch w:val="default"/>
    <w:sig w:usb0="E0000AFF" w:usb1="00007843" w:usb2="00000001" w:usb3="00000000" w:csb0="400001BF" w:csb1="DFF70000"/>
  </w:font>
  <w:font w:name="Apple Braille Outline 6 Dot">
    <w:panose1 w:val="05000000000000000000"/>
    <w:charset w:val="00"/>
    <w:family w:val="auto"/>
    <w:pitch w:val="default"/>
    <w:sig w:usb0="80000040" w:usb1="00000000" w:usb2="0004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E052A"/>
    <w:multiLevelType w:val="multilevel"/>
    <w:tmpl w:val="873E052A"/>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
    <w:nsid w:val="9BE2E6BC"/>
    <w:multiLevelType w:val="multilevel"/>
    <w:tmpl w:val="9BE2E6BC"/>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
    <w:nsid w:val="9FF9781B"/>
    <w:multiLevelType w:val="singleLevel"/>
    <w:tmpl w:val="9FF9781B"/>
    <w:lvl w:ilvl="0" w:tentative="0">
      <w:start w:val="1"/>
      <w:numFmt w:val="decimal"/>
      <w:suff w:val="nothing"/>
      <w:lvlText w:val="%1．"/>
      <w:lvlJc w:val="left"/>
      <w:pPr>
        <w:ind w:left="0" w:firstLine="403"/>
      </w:pPr>
      <w:rPr>
        <w:rFonts w:hint="default" w:ascii="仿宋_GB2312" w:hAnsi="仿宋_GB2312" w:eastAsia="仿宋_GB2312" w:cs="仿宋_GB2312"/>
        <w:sz w:val="32"/>
        <w:szCs w:val="32"/>
      </w:rPr>
    </w:lvl>
  </w:abstractNum>
  <w:abstractNum w:abstractNumId="3">
    <w:nsid w:val="B76F0448"/>
    <w:multiLevelType w:val="multilevel"/>
    <w:tmpl w:val="B76F0448"/>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
    <w:nsid w:val="BBB7342A"/>
    <w:multiLevelType w:val="multilevel"/>
    <w:tmpl w:val="BBB7342A"/>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
    <w:nsid w:val="BEDE0893"/>
    <w:multiLevelType w:val="multilevel"/>
    <w:tmpl w:val="BEDE0893"/>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6">
    <w:nsid w:val="DE9FC387"/>
    <w:multiLevelType w:val="multilevel"/>
    <w:tmpl w:val="DE9FC387"/>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7">
    <w:nsid w:val="DF7F7E8E"/>
    <w:multiLevelType w:val="singleLevel"/>
    <w:tmpl w:val="DF7F7E8E"/>
    <w:lvl w:ilvl="0" w:tentative="0">
      <w:start w:val="1"/>
      <w:numFmt w:val="decimal"/>
      <w:suff w:val="nothing"/>
      <w:lvlText w:val="%1．"/>
      <w:lvlJc w:val="left"/>
      <w:pPr>
        <w:ind w:left="0" w:firstLine="403"/>
      </w:pPr>
      <w:rPr>
        <w:rFonts w:hint="default" w:ascii="仿宋_GB2312" w:hAnsi="仿宋_GB2312" w:eastAsia="仿宋_GB2312" w:cs="仿宋_GB2312"/>
        <w:sz w:val="32"/>
        <w:szCs w:val="32"/>
      </w:rPr>
    </w:lvl>
  </w:abstractNum>
  <w:abstractNum w:abstractNumId="8">
    <w:nsid w:val="E9FC2FC7"/>
    <w:multiLevelType w:val="multilevel"/>
    <w:tmpl w:val="E9FC2FC7"/>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9">
    <w:nsid w:val="EBB6A7BB"/>
    <w:multiLevelType w:val="multilevel"/>
    <w:tmpl w:val="EBB6A7BB"/>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0">
    <w:nsid w:val="EBEE62D8"/>
    <w:multiLevelType w:val="singleLevel"/>
    <w:tmpl w:val="EBEE62D8"/>
    <w:lvl w:ilvl="0" w:tentative="0">
      <w:start w:val="1"/>
      <w:numFmt w:val="decimal"/>
      <w:suff w:val="nothing"/>
      <w:lvlText w:val="%1．"/>
      <w:lvlJc w:val="left"/>
      <w:pPr>
        <w:ind w:left="0" w:firstLine="403"/>
      </w:pPr>
      <w:rPr>
        <w:rFonts w:hint="default" w:ascii="仿宋_GB2312" w:hAnsi="仿宋_GB2312" w:eastAsia="仿宋_GB2312" w:cs="仿宋_GB2312"/>
        <w:sz w:val="32"/>
        <w:szCs w:val="32"/>
      </w:rPr>
    </w:lvl>
  </w:abstractNum>
  <w:abstractNum w:abstractNumId="11">
    <w:nsid w:val="ECFD9E05"/>
    <w:multiLevelType w:val="multilevel"/>
    <w:tmpl w:val="ECFD9E05"/>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2">
    <w:nsid w:val="FF0E2C4E"/>
    <w:multiLevelType w:val="singleLevel"/>
    <w:tmpl w:val="FF0E2C4E"/>
    <w:lvl w:ilvl="0" w:tentative="0">
      <w:start w:val="1"/>
      <w:numFmt w:val="decimal"/>
      <w:suff w:val="nothing"/>
      <w:lvlText w:val="%1．"/>
      <w:lvlJc w:val="left"/>
      <w:pPr>
        <w:ind w:left="0" w:firstLine="403"/>
      </w:pPr>
      <w:rPr>
        <w:rFonts w:hint="default" w:ascii="仿宋_GB2312" w:hAnsi="仿宋_GB2312" w:eastAsia="仿宋_GB2312" w:cs="仿宋_GB2312"/>
        <w:sz w:val="32"/>
        <w:szCs w:val="32"/>
      </w:rPr>
    </w:lvl>
  </w:abstractNum>
  <w:abstractNum w:abstractNumId="13">
    <w:nsid w:val="FF1EC428"/>
    <w:multiLevelType w:val="multilevel"/>
    <w:tmpl w:val="FF1EC428"/>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4">
    <w:nsid w:val="FFF6AF34"/>
    <w:multiLevelType w:val="multilevel"/>
    <w:tmpl w:val="FFF6AF34"/>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5">
    <w:nsid w:val="FFFCA6BE"/>
    <w:multiLevelType w:val="singleLevel"/>
    <w:tmpl w:val="FFFCA6BE"/>
    <w:lvl w:ilvl="0" w:tentative="0">
      <w:start w:val="1"/>
      <w:numFmt w:val="decimal"/>
      <w:suff w:val="nothing"/>
      <w:lvlText w:val="%1．"/>
      <w:lvlJc w:val="left"/>
      <w:pPr>
        <w:ind w:left="0" w:firstLine="403"/>
      </w:pPr>
      <w:rPr>
        <w:rFonts w:hint="default" w:ascii="仿宋_GB2312" w:hAnsi="仿宋_GB2312" w:eastAsia="仿宋_GB2312" w:cs="仿宋_GB2312"/>
        <w:sz w:val="32"/>
        <w:szCs w:val="32"/>
      </w:rPr>
    </w:lvl>
  </w:abstractNum>
  <w:abstractNum w:abstractNumId="16">
    <w:nsid w:val="2FCC658B"/>
    <w:multiLevelType w:val="multilevel"/>
    <w:tmpl w:val="2FCC658B"/>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7">
    <w:nsid w:val="433FE466"/>
    <w:multiLevelType w:val="multilevel"/>
    <w:tmpl w:val="433FE466"/>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8">
    <w:nsid w:val="59DF8A65"/>
    <w:multiLevelType w:val="multilevel"/>
    <w:tmpl w:val="59DF8A65"/>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9">
    <w:nsid w:val="5FBE056C"/>
    <w:multiLevelType w:val="singleLevel"/>
    <w:tmpl w:val="5FBE056C"/>
    <w:lvl w:ilvl="0" w:tentative="0">
      <w:start w:val="1"/>
      <w:numFmt w:val="decimal"/>
      <w:suff w:val="nothing"/>
      <w:lvlText w:val="%1．"/>
      <w:lvlJc w:val="left"/>
      <w:pPr>
        <w:ind w:left="0" w:firstLine="403"/>
      </w:pPr>
      <w:rPr>
        <w:rFonts w:hint="default" w:ascii="仿宋_GB2312" w:hAnsi="仿宋_GB2312" w:eastAsia="仿宋_GB2312" w:cs="仿宋_GB2312"/>
        <w:sz w:val="32"/>
        <w:szCs w:val="32"/>
      </w:rPr>
    </w:lvl>
  </w:abstractNum>
  <w:abstractNum w:abstractNumId="20">
    <w:nsid w:val="5FEEC12E"/>
    <w:multiLevelType w:val="multilevel"/>
    <w:tmpl w:val="5FEEC12E"/>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1">
    <w:nsid w:val="76DE8B6A"/>
    <w:multiLevelType w:val="multilevel"/>
    <w:tmpl w:val="76DE8B6A"/>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decimal"/>
      <w:lvlText w:val="%2."/>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2">
    <w:nsid w:val="77FD0CEB"/>
    <w:multiLevelType w:val="singleLevel"/>
    <w:tmpl w:val="77FD0CEB"/>
    <w:lvl w:ilvl="0" w:tentative="0">
      <w:start w:val="1"/>
      <w:numFmt w:val="decimal"/>
      <w:suff w:val="nothing"/>
      <w:lvlText w:val="%1．"/>
      <w:lvlJc w:val="left"/>
      <w:pPr>
        <w:ind w:left="0" w:firstLine="403"/>
      </w:pPr>
      <w:rPr>
        <w:rFonts w:hint="default" w:ascii="仿宋_GB2312" w:hAnsi="仿宋_GB2312" w:eastAsia="仿宋_GB2312" w:cs="仿宋_GB2312"/>
        <w:sz w:val="32"/>
        <w:szCs w:val="32"/>
      </w:rPr>
    </w:lvl>
  </w:abstractNum>
  <w:abstractNum w:abstractNumId="23">
    <w:nsid w:val="7F9E7560"/>
    <w:multiLevelType w:val="multilevel"/>
    <w:tmpl w:val="7F9E7560"/>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num w:numId="1">
    <w:abstractNumId w:val="19"/>
  </w:num>
  <w:num w:numId="2">
    <w:abstractNumId w:val="12"/>
  </w:num>
  <w:num w:numId="3">
    <w:abstractNumId w:val="2"/>
  </w:num>
  <w:num w:numId="4">
    <w:abstractNumId w:val="10"/>
  </w:num>
  <w:num w:numId="5">
    <w:abstractNumId w:val="7"/>
  </w:num>
  <w:num w:numId="6">
    <w:abstractNumId w:val="15"/>
  </w:num>
  <w:num w:numId="7">
    <w:abstractNumId w:val="22"/>
  </w:num>
  <w:num w:numId="8">
    <w:abstractNumId w:val="11"/>
  </w:num>
  <w:num w:numId="9">
    <w:abstractNumId w:val="23"/>
  </w:num>
  <w:num w:numId="10">
    <w:abstractNumId w:val="4"/>
  </w:num>
  <w:num w:numId="11">
    <w:abstractNumId w:val="21"/>
  </w:num>
  <w:num w:numId="12">
    <w:abstractNumId w:val="0"/>
  </w:num>
  <w:num w:numId="13">
    <w:abstractNumId w:val="6"/>
  </w:num>
  <w:num w:numId="14">
    <w:abstractNumId w:val="18"/>
  </w:num>
  <w:num w:numId="15">
    <w:abstractNumId w:val="17"/>
  </w:num>
  <w:num w:numId="16">
    <w:abstractNumId w:val="14"/>
  </w:num>
  <w:num w:numId="17">
    <w:abstractNumId w:val="13"/>
  </w:num>
  <w:num w:numId="18">
    <w:abstractNumId w:val="16"/>
  </w:num>
  <w:num w:numId="19">
    <w:abstractNumId w:val="3"/>
  </w:num>
  <w:num w:numId="20">
    <w:abstractNumId w:val="8"/>
  </w:num>
  <w:num w:numId="21">
    <w:abstractNumId w:val="9"/>
  </w:num>
  <w:num w:numId="22">
    <w:abstractNumId w:val="1"/>
  </w:num>
  <w:num w:numId="23">
    <w:abstractNumId w:val="20"/>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documentProtection w:enforcement="0"/>
  <w:defaultTabStop w:val="0"/>
  <w:compat>
    <w:useFELayout/>
    <w:compatSetting w:name="compatibilityMode" w:uri="http://schemas.microsoft.com/office/word" w:val="15"/>
  </w:compat>
  <w:rsids>
    <w:rsidRoot w:val="00000000"/>
    <w:rsid w:val="69FF4601"/>
    <w:rsid w:val="AFFEFCCF"/>
    <w:rsid w:val="F94EBBC6"/>
    <w:rsid w:val="FC5B428E"/>
    <w:rsid w:val="FFEFFA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sz w:val="16"/>
      <w:szCs w:val="16"/>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9">
    <w:name w:val="Title"/>
    <w:basedOn w:val="1"/>
    <w:next w:val="1"/>
    <w:uiPriority w:val="0"/>
    <w:pPr>
      <w:keepNext/>
      <w:keepLines/>
      <w:pageBreakBefore w:val="0"/>
      <w:spacing w:before="480" w:after="120"/>
    </w:pPr>
    <w:rPr>
      <w:b/>
      <w:sz w:val="72"/>
      <w:szCs w:val="72"/>
    </w:rPr>
  </w:style>
  <w:style w:type="table" w:customStyle="1" w:styleId="12">
    <w:name w:val="Table Normal"/>
    <w:uiPriority w:val="0"/>
  </w:style>
  <w:style w:type="table" w:customStyle="1" w:styleId="13">
    <w:name w:val="_Style 10"/>
    <w:basedOn w:val="12"/>
    <w:uiPriority w:val="0"/>
    <w:tblPr>
      <w:tblCellMar>
        <w:top w:w="100" w:type="dxa"/>
        <w:left w:w="100" w:type="dxa"/>
        <w:bottom w:w="100" w:type="dxa"/>
        <w:right w:w="100" w:type="dxa"/>
      </w:tblCellMar>
    </w:tblPr>
  </w:style>
  <w:style w:type="table" w:customStyle="1" w:styleId="14">
    <w:name w:val="_Style 11"/>
    <w:basedOn w:val="12"/>
    <w:uiPriority w:val="0"/>
    <w:tblPr>
      <w:tblCellMar>
        <w:top w:w="100" w:type="dxa"/>
        <w:left w:w="100" w:type="dxa"/>
        <w:bottom w:w="100" w:type="dxa"/>
        <w:right w:w="100" w:type="dxa"/>
      </w:tblCellMar>
    </w:tblPr>
  </w:style>
  <w:style w:type="table" w:customStyle="1" w:styleId="15">
    <w:name w:val="_Style 12"/>
    <w:basedOn w:val="12"/>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44</Pages>
  <TotalTime>23</TotalTime>
  <ScaleCrop>false</ScaleCrop>
  <LinksUpToDate>false</LinksUpToDate>
  <Application>WPS Office_7.3.1.8967_F1E327BC-269C-435d-A152-05C5408002CA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2025-08-14T01:36:00Z</dcterms:created>
  <dc:creator>Data</dc:creator>
  <cp:lastModifiedBy>qibaoba</cp:lastModifiedBy>
  <dcterms:modified xsi:type="dcterms:W3CDTF">2025-08-13T10:57:08Z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71321577CD1A614504FF9B6837889EEA_43</vt:lpwstr>
  </property>
</Properties>
</file>