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929BF0">
      <w:pPr>
        <w:jc w:val="center"/>
        <w:rPr>
          <w:rFonts w:ascii="方正小标宋_GBK" w:eastAsia="方正小标宋_GBK"/>
          <w:sz w:val="44"/>
          <w:szCs w:val="44"/>
        </w:rPr>
      </w:pPr>
    </w:p>
    <w:p w14:paraId="7E42D6ED">
      <w:pPr>
        <w:jc w:val="center"/>
        <w:rPr>
          <w:rFonts w:ascii="方正小标宋_GBK" w:eastAsia="方正小标宋_GBK"/>
          <w:sz w:val="44"/>
          <w:szCs w:val="44"/>
        </w:rPr>
      </w:pPr>
      <w:r>
        <w:rPr>
          <w:rFonts w:hint="eastAsia" w:ascii="方正小标宋_GBK" w:eastAsia="方正小标宋_GBK"/>
          <w:sz w:val="44"/>
          <w:szCs w:val="44"/>
        </w:rPr>
        <w:t>深圳市科技创新局 河套</w:t>
      </w:r>
      <w:bookmarkStart w:id="0" w:name="OLE_LINK2"/>
      <w:bookmarkStart w:id="1" w:name="OLE_LINK1"/>
      <w:bookmarkStart w:id="2" w:name="OLE_LINK6"/>
      <w:r>
        <w:rPr>
          <w:rFonts w:hint="eastAsia" w:ascii="方正小标宋_GBK" w:eastAsia="方正小标宋_GBK"/>
          <w:sz w:val="44"/>
          <w:szCs w:val="44"/>
        </w:rPr>
        <w:t>深港科技创新合作区</w:t>
      </w:r>
      <w:bookmarkEnd w:id="0"/>
      <w:bookmarkEnd w:id="1"/>
      <w:bookmarkEnd w:id="2"/>
      <w:r>
        <w:rPr>
          <w:rFonts w:hint="eastAsia" w:ascii="方正小标宋_GBK" w:eastAsia="方正小标宋_GBK"/>
          <w:sz w:val="44"/>
          <w:szCs w:val="44"/>
        </w:rPr>
        <w:t>深圳园区发展署关于支持科技服务业</w:t>
      </w:r>
    </w:p>
    <w:p w14:paraId="6E6EBD95">
      <w:pPr>
        <w:jc w:val="center"/>
        <w:rPr>
          <w:rFonts w:ascii="方正小标宋_GBK" w:eastAsia="方正小标宋_GBK"/>
          <w:sz w:val="44"/>
          <w:szCs w:val="44"/>
        </w:rPr>
      </w:pPr>
      <w:r>
        <w:rPr>
          <w:rFonts w:hint="eastAsia" w:ascii="方正小标宋_GBK" w:eastAsia="方正小标宋_GBK"/>
          <w:sz w:val="44"/>
          <w:szCs w:val="44"/>
        </w:rPr>
        <w:t>高质量发展行动计划</w:t>
      </w:r>
    </w:p>
    <w:p w14:paraId="241116A9">
      <w:pPr>
        <w:jc w:val="center"/>
        <w:rPr>
          <w:rFonts w:ascii="方正小标宋_GBK" w:eastAsia="方正小标宋_GBK"/>
          <w:sz w:val="44"/>
          <w:szCs w:val="44"/>
        </w:rPr>
      </w:pPr>
      <w:r>
        <w:rPr>
          <w:rFonts w:hint="eastAsia" w:ascii="方正小标宋_GBK" w:eastAsia="方正小标宋_GBK"/>
          <w:sz w:val="44"/>
          <w:szCs w:val="44"/>
        </w:rPr>
        <w:t>（2025</w:t>
      </w:r>
      <w:r>
        <w:rPr>
          <w:rFonts w:ascii="方正小标宋_GBK" w:eastAsia="方正小标宋_GBK"/>
          <w:sz w:val="44"/>
          <w:szCs w:val="44"/>
        </w:rPr>
        <w:t>~</w:t>
      </w:r>
      <w:r>
        <w:rPr>
          <w:rFonts w:hint="eastAsia" w:ascii="方正小标宋_GBK" w:eastAsia="方正小标宋_GBK"/>
          <w:sz w:val="44"/>
          <w:szCs w:val="44"/>
        </w:rPr>
        <w:t>2027年）</w:t>
      </w:r>
    </w:p>
    <w:p w14:paraId="1D204598">
      <w:pPr>
        <w:jc w:val="center"/>
        <w:rPr>
          <w:rFonts w:ascii="楷体_GB2312" w:eastAsia="楷体_GB2312"/>
        </w:rPr>
      </w:pPr>
      <w:r>
        <w:rPr>
          <w:rFonts w:hint="eastAsia" w:ascii="楷体_GB2312" w:eastAsia="楷体_GB2312"/>
        </w:rPr>
        <w:t>（征求意见稿）</w:t>
      </w:r>
    </w:p>
    <w:p w14:paraId="4D3826C7">
      <w:pPr>
        <w:jc w:val="center"/>
        <w:rPr>
          <w:rFonts w:ascii="方正小标宋_GBK" w:eastAsia="方正小标宋_GBK"/>
          <w:sz w:val="44"/>
          <w:szCs w:val="44"/>
        </w:rPr>
      </w:pPr>
    </w:p>
    <w:p w14:paraId="713BFEC6">
      <w:pPr>
        <w:ind w:firstLine="640" w:firstLineChars="200"/>
        <w:jc w:val="both"/>
      </w:pPr>
      <w:r>
        <w:rPr>
          <w:rFonts w:hint="eastAsia"/>
        </w:rPr>
        <w:t>为</w:t>
      </w:r>
      <w:r>
        <w:t>进一步</w:t>
      </w:r>
      <w:r>
        <w:rPr>
          <w:rFonts w:hint="eastAsia"/>
        </w:rPr>
        <w:t>构建具有国际竞争力的科技服务生态体系，充分发挥与香港跨境接壤天然区位优势，</w:t>
      </w:r>
      <w:r>
        <w:t>完善全方位科研服务，推进深港科技创新开放合作先导区、国际先进科技创新规则试验区及粤港澳大湾区中试转化集聚区建设，加速推进科技服务业高质量发展</w:t>
      </w:r>
      <w:r>
        <w:rPr>
          <w:rFonts w:hint="eastAsia"/>
        </w:rPr>
        <w:t>，</w:t>
      </w:r>
      <w:r>
        <w:rPr>
          <w:rFonts w:hint="eastAsia"/>
          <w:lang w:val="en-US" w:eastAsia="zh-CN"/>
        </w:rPr>
        <w:t>建设</w:t>
      </w:r>
      <w:r>
        <w:rPr>
          <w:rFonts w:hint="eastAsia"/>
        </w:rPr>
        <w:t>世界级的科研枢纽，制定本行动计划。</w:t>
      </w:r>
    </w:p>
    <w:p w14:paraId="20403345">
      <w:pPr>
        <w:ind w:firstLine="640" w:firstLineChars="200"/>
        <w:jc w:val="both"/>
        <w:rPr>
          <w:rFonts w:ascii="黑体" w:hAnsi="黑体" w:eastAsia="黑体"/>
        </w:rPr>
      </w:pPr>
      <w:r>
        <w:rPr>
          <w:rFonts w:hint="eastAsia" w:ascii="黑体" w:hAnsi="黑体" w:eastAsia="黑体"/>
        </w:rPr>
        <w:t>一、发展目标</w:t>
      </w:r>
    </w:p>
    <w:p w14:paraId="45AF2552">
      <w:pPr>
        <w:ind w:firstLine="640" w:firstLineChars="200"/>
        <w:jc w:val="both"/>
      </w:pPr>
      <w:r>
        <w:rPr>
          <w:rFonts w:hint="eastAsia"/>
        </w:rPr>
        <w:t>以习近平新时代中国特色社会主义思想为指导，全面贯彻新发展理念，牢牢把握粤港澳大湾区建设和深圳建设中国特色社会主义先行示范区重大战略机遇，充分发挥“一河两岸、一区两园”的独特区位优势、深港两地交汇的制度叠加优势与资源要素便利流通优势，坚持科技创新和制度创新双轮驱动，到2027年，培育集聚规模以上科技服务企业</w:t>
      </w:r>
      <w:r>
        <w:t>50</w:t>
      </w:r>
      <w:r>
        <w:rPr>
          <w:rFonts w:hint="eastAsia"/>
        </w:rPr>
        <w:t>家以上，年营业收入突破30亿元，建成深港跨境技术转移平台2个以上</w:t>
      </w:r>
      <w:r>
        <w:rPr>
          <w:rFonts w:hint="eastAsia"/>
          <w:lang w:eastAsia="zh-CN"/>
        </w:rPr>
        <w:t>，</w:t>
      </w:r>
      <w:r>
        <w:t>建成</w:t>
      </w:r>
      <w:r>
        <w:rPr>
          <w:rFonts w:hint="eastAsia"/>
        </w:rPr>
        <w:t>国家、省级科研平台达</w:t>
      </w:r>
      <w:r>
        <w:t>8</w:t>
      </w:r>
      <w:r>
        <w:rPr>
          <w:rFonts w:hint="eastAsia"/>
        </w:rPr>
        <w:t>个</w:t>
      </w:r>
      <w:r>
        <w:t>以上</w:t>
      </w:r>
      <w:r>
        <w:rPr>
          <w:rFonts w:hint="eastAsia"/>
        </w:rPr>
        <w:t>，中试转化平台15个以上，形成“研发-中试-产业化”全链条服务体系；引进国际顶尖科技服务机构</w:t>
      </w:r>
      <w:r>
        <w:t>5</w:t>
      </w:r>
      <w:r>
        <w:rPr>
          <w:rFonts w:hint="eastAsia"/>
        </w:rPr>
        <w:t>家，</w:t>
      </w:r>
      <w:r>
        <w:t>落地</w:t>
      </w:r>
      <w:r>
        <w:rPr>
          <w:rFonts w:hint="eastAsia"/>
        </w:rPr>
        <w:t>深港联合创新团队</w:t>
      </w:r>
      <w:r>
        <w:t>10</w:t>
      </w:r>
      <w:r>
        <w:rPr>
          <w:rFonts w:hint="eastAsia"/>
        </w:rPr>
        <w:t>个</w:t>
      </w:r>
      <w:r>
        <w:rPr>
          <w:rFonts w:hint="eastAsia"/>
          <w:lang w:eastAsia="zh-CN"/>
        </w:rPr>
        <w:t>；</w:t>
      </w:r>
      <w:r>
        <w:rPr>
          <w:rFonts w:hint="eastAsia"/>
        </w:rPr>
        <w:t>推动深港紧密合作、协同发展推动科技服务业与人工智能、先进生物医药、前沿信息和能源材料等主导产业深度融合，打造</w:t>
      </w:r>
      <w:r>
        <w:rPr>
          <w:rFonts w:hint="eastAsia" w:ascii="仿宋_GB2312"/>
        </w:rPr>
        <w:t>“跨境服务枢纽、创新转化高地、产业赋能引擎”</w:t>
      </w:r>
      <w:r>
        <w:rPr>
          <w:rFonts w:hint="eastAsia" w:ascii="仿宋_GB2312"/>
          <w:lang w:eastAsia="zh-CN"/>
        </w:rPr>
        <w:t>，成为粤港澳大湾区科技服务开放合作标杆</w:t>
      </w:r>
      <w:r>
        <w:rPr>
          <w:rFonts w:hint="eastAsia"/>
        </w:rPr>
        <w:t>。</w:t>
      </w:r>
    </w:p>
    <w:p w14:paraId="6AA1C782">
      <w:pPr>
        <w:ind w:firstLine="640" w:firstLineChars="200"/>
        <w:jc w:val="both"/>
        <w:rPr>
          <w:rFonts w:ascii="黑体" w:hAnsi="黑体" w:eastAsia="黑体"/>
        </w:rPr>
      </w:pPr>
      <w:r>
        <w:rPr>
          <w:rFonts w:hint="eastAsia" w:ascii="黑体" w:hAnsi="黑体" w:eastAsia="黑体"/>
        </w:rPr>
        <w:t>二、重点任务</w:t>
      </w:r>
    </w:p>
    <w:p w14:paraId="653BF57C">
      <w:pPr>
        <w:adjustRightInd w:val="0"/>
        <w:snapToGrid w:val="0"/>
        <w:ind w:firstLine="640" w:firstLineChars="200"/>
        <w:rPr>
          <w:rFonts w:ascii="楷体_GB2312" w:hAnsi="黑体" w:eastAsia="楷体_GB2312" w:cs="黑体"/>
        </w:rPr>
      </w:pPr>
      <w:r>
        <w:rPr>
          <w:rFonts w:hint="eastAsia" w:ascii="楷体_GB2312" w:hAnsi="黑体" w:eastAsia="楷体_GB2312" w:cs="黑体"/>
        </w:rPr>
        <w:t>（一）发展壮大科研服务主体</w:t>
      </w:r>
    </w:p>
    <w:p w14:paraId="6FE0883A">
      <w:pPr>
        <w:widowControl w:val="0"/>
        <w:adjustRightInd w:val="0"/>
        <w:snapToGrid w:val="0"/>
        <w:spacing w:line="560" w:lineRule="exact"/>
        <w:ind w:firstLine="643" w:firstLineChars="200"/>
        <w:jc w:val="both"/>
        <w:rPr>
          <w:rFonts w:hint="eastAsia"/>
          <w:b/>
          <w:lang w:val="en-US" w:eastAsia="zh-CN"/>
        </w:rPr>
      </w:pPr>
      <w:r>
        <w:rPr>
          <w:rFonts w:hint="eastAsia" w:ascii="仿宋_GB2312"/>
          <w:b/>
          <w:lang w:val="en-US" w:eastAsia="zh-CN"/>
        </w:rPr>
        <w:t>1.实施科技服务业科技计划专项。</w:t>
      </w:r>
      <w:r>
        <w:rPr>
          <w:rFonts w:hint="eastAsia" w:ascii="仿宋_GB2312" w:hAnsi="仿宋_GB2312" w:eastAsia="仿宋_GB2312" w:cs="仿宋_GB2312"/>
          <w:sz w:val="32"/>
          <w:szCs w:val="32"/>
          <w:lang w:val="en-US" w:eastAsia="zh-CN"/>
        </w:rPr>
        <w:t>探索实施科技服务业科技重大专项，将</w:t>
      </w:r>
      <w:r>
        <w:rPr>
          <w:rFonts w:hint="eastAsia" w:ascii="仿宋_GB2312" w:hAnsi="仿宋_GB2312" w:eastAsia="仿宋_GB2312" w:cs="仿宋_GB2312"/>
          <w:sz w:val="32"/>
          <w:szCs w:val="32"/>
        </w:rPr>
        <w:t>科技服务业规上企业</w:t>
      </w:r>
      <w:r>
        <w:rPr>
          <w:rFonts w:hint="eastAsia" w:ascii="仿宋_GB2312" w:hAnsi="仿宋_GB2312" w:eastAsia="仿宋_GB2312" w:cs="仿宋_GB2312"/>
          <w:sz w:val="32"/>
          <w:szCs w:val="32"/>
          <w:lang w:val="en-US" w:eastAsia="zh-CN"/>
        </w:rPr>
        <w:t>纳入</w:t>
      </w:r>
      <w:r>
        <w:rPr>
          <w:rFonts w:hint="eastAsia" w:ascii="仿宋_GB2312" w:hAnsi="仿宋_GB2312" w:eastAsia="仿宋_GB2312" w:cs="仿宋_GB2312"/>
          <w:sz w:val="32"/>
          <w:szCs w:val="32"/>
        </w:rPr>
        <w:t>市科技重大专项</w:t>
      </w:r>
      <w:r>
        <w:rPr>
          <w:rFonts w:hint="eastAsia" w:ascii="仿宋_GB2312" w:hAnsi="仿宋_GB2312" w:eastAsia="仿宋_GB2312" w:cs="仿宋_GB2312"/>
          <w:sz w:val="32"/>
          <w:szCs w:val="32"/>
          <w:lang w:val="en-US" w:eastAsia="zh-CN"/>
        </w:rPr>
        <w:t>支持范围</w:t>
      </w:r>
      <w:r>
        <w:rPr>
          <w:rFonts w:hint="eastAsia" w:ascii="仿宋_GB2312" w:hAnsi="仿宋_GB2312" w:eastAsia="仿宋_GB2312" w:cs="仿宋_GB2312"/>
          <w:sz w:val="32"/>
          <w:szCs w:val="32"/>
        </w:rPr>
        <w:t>，对行业100强不设限项要求</w:t>
      </w:r>
      <w:r>
        <w:rPr>
          <w:rFonts w:hint="eastAsia" w:ascii="仿宋_GB2312" w:hAnsi="仿宋_GB2312" w:eastAsia="仿宋_GB2312" w:cs="仿宋_GB2312"/>
          <w:sz w:val="32"/>
          <w:szCs w:val="32"/>
          <w:lang w:eastAsia="zh-CN"/>
        </w:rPr>
        <w:t>。</w:t>
      </w:r>
      <w:r>
        <w:rPr>
          <w:rFonts w:hint="eastAsia" w:ascii="仿宋_GB2312" w:hAnsi="仿宋_GB2312" w:eastAsia="仿宋_GB2312" w:cs="仿宋_GB2312"/>
          <w:sz w:val="32"/>
          <w:szCs w:val="32"/>
        </w:rPr>
        <w:t>对</w:t>
      </w:r>
      <w:r>
        <w:rPr>
          <w:rFonts w:hint="eastAsia" w:ascii="仿宋_GB2312" w:hAnsi="仿宋_GB2312" w:eastAsia="仿宋_GB2312" w:cs="仿宋_GB2312"/>
          <w:sz w:val="32"/>
          <w:szCs w:val="32"/>
          <w:lang w:val="en-US" w:eastAsia="zh-CN"/>
        </w:rPr>
        <w:t>科技服务业企业</w:t>
      </w:r>
      <w:r>
        <w:rPr>
          <w:rFonts w:hint="eastAsia" w:ascii="仿宋_GB2312" w:hAnsi="仿宋_GB2312" w:eastAsia="仿宋_GB2312" w:cs="仿宋_GB2312"/>
          <w:sz w:val="32"/>
          <w:szCs w:val="32"/>
        </w:rPr>
        <w:t>上年度</w:t>
      </w:r>
      <w:r>
        <w:rPr>
          <w:rFonts w:hint="eastAsia" w:ascii="仿宋_GB2312" w:hAnsi="仿宋_GB2312" w:cs="仿宋_GB2312"/>
          <w:sz w:val="32"/>
          <w:szCs w:val="32"/>
          <w:lang w:val="en-US" w:eastAsia="zh-CN"/>
        </w:rPr>
        <w:t>的</w:t>
      </w:r>
      <w:r>
        <w:rPr>
          <w:rFonts w:hint="eastAsia" w:ascii="仿宋_GB2312" w:hAnsi="仿宋_GB2312" w:eastAsia="仿宋_GB2312" w:cs="仿宋_GB2312"/>
          <w:sz w:val="32"/>
          <w:szCs w:val="32"/>
        </w:rPr>
        <w:t>研发费用增量分档给予定额资助，单家企业最高</w:t>
      </w:r>
      <w:r>
        <w:rPr>
          <w:rFonts w:hint="eastAsia" w:ascii="仿宋_GB2312" w:hAnsi="仿宋_GB2312" w:eastAsia="仿宋_GB2312" w:cs="仿宋_GB2312"/>
          <w:sz w:val="32"/>
          <w:szCs w:val="32"/>
          <w:lang w:val="en-US" w:eastAsia="zh-CN"/>
        </w:rPr>
        <w:t>资助</w:t>
      </w:r>
      <w:r>
        <w:rPr>
          <w:rFonts w:hint="eastAsia" w:ascii="仿宋_GB2312" w:hAnsi="仿宋_GB2312" w:eastAsia="仿宋_GB2312" w:cs="仿宋_GB2312"/>
          <w:sz w:val="32"/>
          <w:szCs w:val="32"/>
        </w:rPr>
        <w:t>300万元；将科技服务业企业纳入创新积分制名录和贷款贴息、科技创新债贴息资助范围，年度贴息单个企业最高</w:t>
      </w:r>
      <w:r>
        <w:rPr>
          <w:rFonts w:hint="eastAsia" w:ascii="仿宋_GB2312" w:hAnsi="仿宋_GB2312" w:eastAsia="仿宋_GB2312" w:cs="仿宋_GB2312"/>
          <w:sz w:val="32"/>
          <w:szCs w:val="32"/>
          <w:lang w:val="en-US" w:eastAsia="zh-CN"/>
        </w:rPr>
        <w:t>资助</w:t>
      </w:r>
      <w:r>
        <w:rPr>
          <w:rFonts w:hint="eastAsia" w:ascii="仿宋_GB2312" w:hAnsi="仿宋_GB2312" w:eastAsia="仿宋_GB2312" w:cs="仿宋_GB2312"/>
          <w:sz w:val="32"/>
          <w:szCs w:val="32"/>
        </w:rPr>
        <w:t>100万元。</w:t>
      </w:r>
    </w:p>
    <w:p w14:paraId="6DE03D76">
      <w:pPr>
        <w:adjustRightInd w:val="0"/>
        <w:snapToGrid w:val="0"/>
        <w:ind w:firstLine="643" w:firstLineChars="200"/>
        <w:jc w:val="both"/>
        <w:rPr>
          <w:rFonts w:ascii="仿宋_GB2312" w:hAnsi="仿宋_GB2312" w:cs="仿宋_GB2312"/>
        </w:rPr>
      </w:pPr>
      <w:r>
        <w:rPr>
          <w:rFonts w:hint="eastAsia"/>
          <w:b/>
          <w:lang w:val="en-US" w:eastAsia="zh-CN"/>
        </w:rPr>
        <w:t>2</w:t>
      </w:r>
      <w:r>
        <w:rPr>
          <w:b/>
        </w:rPr>
        <w:t>.</w:t>
      </w:r>
      <w:r>
        <w:rPr>
          <w:rFonts w:hint="eastAsia" w:ascii="仿宋_GB2312"/>
          <w:b/>
        </w:rPr>
        <w:t>积极引进</w:t>
      </w:r>
      <w:r>
        <w:rPr>
          <w:rFonts w:hint="eastAsia" w:ascii="仿宋_GB2312"/>
          <w:b/>
          <w:lang w:val="en-US" w:eastAsia="zh-CN"/>
        </w:rPr>
        <w:t>国际</w:t>
      </w:r>
      <w:r>
        <w:rPr>
          <w:rFonts w:hint="eastAsia" w:ascii="仿宋_GB2312"/>
          <w:b/>
        </w:rPr>
        <w:t>科技服务业领军企业</w:t>
      </w:r>
      <w:r>
        <w:rPr>
          <w:rFonts w:hint="eastAsia"/>
        </w:rPr>
        <w:t>。</w:t>
      </w:r>
      <w:r>
        <w:rPr>
          <w:rFonts w:hint="eastAsia" w:ascii="仿宋_GB2312" w:hAnsi="仿宋_GB2312" w:cs="仿宋_GB2312"/>
        </w:rPr>
        <w:t>聚焦服务科研机构及国际科技企业，建立精准的科技服务业招商清单，重点引进研究和试验发展</w:t>
      </w:r>
      <w:r>
        <w:rPr>
          <w:rFonts w:hint="eastAsia" w:ascii="仿宋_GB2312" w:hAnsi="仿宋_GB2312" w:cs="仿宋_GB2312"/>
          <w:lang w:val="en-US" w:eastAsia="zh-CN"/>
        </w:rPr>
        <w:t>服务业</w:t>
      </w:r>
      <w:r>
        <w:rPr>
          <w:rFonts w:hint="eastAsia" w:ascii="仿宋_GB2312" w:hAnsi="仿宋_GB2312" w:cs="仿宋_GB2312"/>
        </w:rPr>
        <w:t>、科技推广和应用服务业</w:t>
      </w:r>
      <w:r>
        <w:rPr>
          <w:rFonts w:hint="eastAsia" w:ascii="仿宋_GB2312" w:hAnsi="仿宋_GB2312" w:cs="仿宋_GB2312"/>
          <w:lang w:val="en-US" w:eastAsia="zh-CN"/>
        </w:rPr>
        <w:t>及</w:t>
      </w:r>
      <w:r>
        <w:rPr>
          <w:rFonts w:hint="eastAsia" w:ascii="仿宋_GB2312" w:hAnsi="仿宋_GB2312" w:cs="仿宋_GB2312"/>
        </w:rPr>
        <w:t>专业技术服务业等领域龙头机构，支持在河套深圳园区设立区域总部或分支机构。</w:t>
      </w:r>
      <w:r>
        <w:rPr>
          <w:rFonts w:hint="eastAsia" w:ascii="仿宋_GB2312" w:hAnsi="仿宋_GB2312" w:cs="仿宋_GB2312"/>
          <w:lang w:val="en-US" w:eastAsia="zh-CN"/>
        </w:rPr>
        <w:t>吸引香港金融业、法律服务业等传统优势服务业在河套深圳园区延展创新。</w:t>
      </w:r>
      <w:r>
        <w:rPr>
          <w:rFonts w:hint="eastAsia" w:ascii="仿宋_GB2312" w:hAnsi="仿宋_GB2312" w:cs="仿宋_GB2312"/>
          <w:color w:val="000000"/>
          <w:szCs w:val="24"/>
        </w:rPr>
        <w:t>对新设立且研发投入大、创新能级高的机构，</w:t>
      </w:r>
      <w:r>
        <w:rPr>
          <w:rFonts w:hint="eastAsia" w:ascii="仿宋_GB2312" w:hAnsi="仿宋_GB2312" w:cs="仿宋_GB2312"/>
          <w:color w:val="000000"/>
        </w:rPr>
        <w:t>给予</w:t>
      </w:r>
      <w:r>
        <w:rPr>
          <w:rFonts w:hint="eastAsia" w:ascii="仿宋_GB2312" w:hAnsi="仿宋_GB2312" w:cs="仿宋_GB2312"/>
          <w:color w:val="000000"/>
          <w:szCs w:val="24"/>
        </w:rPr>
        <w:t>不超过</w:t>
      </w:r>
      <w:r>
        <w:rPr>
          <w:rFonts w:hint="eastAsia" w:ascii="仿宋_GB2312" w:hAnsi="仿宋_GB2312" w:cs="仿宋_GB2312"/>
          <w:color w:val="000000"/>
          <w:szCs w:val="24"/>
          <w:lang w:eastAsia="zh"/>
        </w:rPr>
        <w:t>1</w:t>
      </w:r>
      <w:r>
        <w:rPr>
          <w:rFonts w:hint="eastAsia" w:ascii="仿宋_GB2312" w:hAnsi="仿宋_GB2312" w:cs="仿宋_GB2312"/>
          <w:color w:val="000000"/>
        </w:rPr>
        <w:t>000万元</w:t>
      </w:r>
      <w:r>
        <w:rPr>
          <w:rFonts w:hint="eastAsia" w:ascii="仿宋_GB2312" w:hAnsi="仿宋_GB2312" w:cs="仿宋_GB2312"/>
          <w:color w:val="000000"/>
          <w:szCs w:val="24"/>
        </w:rPr>
        <w:t>的</w:t>
      </w:r>
      <w:r>
        <w:rPr>
          <w:rFonts w:hint="eastAsia" w:ascii="仿宋_GB2312" w:hAnsi="仿宋_GB2312" w:cs="仿宋_GB2312"/>
          <w:color w:val="000000"/>
          <w:szCs w:val="24"/>
          <w:lang w:eastAsia="zh"/>
        </w:rPr>
        <w:t>支持</w:t>
      </w:r>
      <w:r>
        <w:rPr>
          <w:rFonts w:hint="eastAsia" w:ascii="仿宋_GB2312" w:hAnsi="仿宋_GB2312" w:cs="仿宋_GB2312"/>
        </w:rPr>
        <w:t>。</w:t>
      </w:r>
    </w:p>
    <w:p w14:paraId="1DB9CE5F">
      <w:pPr>
        <w:ind w:firstLine="643" w:firstLineChars="200"/>
        <w:jc w:val="both"/>
        <w:rPr>
          <w:rFonts w:ascii="仿宋_GB2312" w:hAnsi="仿宋_GB2312" w:cs="仿宋_GB2312"/>
        </w:rPr>
      </w:pPr>
      <w:r>
        <w:rPr>
          <w:rFonts w:hint="eastAsia"/>
          <w:b/>
          <w:lang w:val="en-US" w:eastAsia="zh-CN"/>
        </w:rPr>
        <w:t>3</w:t>
      </w:r>
      <w:r>
        <w:rPr>
          <w:rFonts w:hint="eastAsia"/>
          <w:b/>
          <w:lang w:eastAsia="zh-CN"/>
        </w:rPr>
        <w:t>.</w:t>
      </w:r>
      <w:r>
        <w:rPr>
          <w:rFonts w:hint="eastAsia" w:ascii="仿宋_GB2312"/>
          <w:b/>
        </w:rPr>
        <w:t>支持科技服务型机构</w:t>
      </w:r>
      <w:r>
        <w:rPr>
          <w:rFonts w:hint="eastAsia" w:ascii="仿宋_GB2312"/>
          <w:b/>
          <w:lang w:val="en-US" w:eastAsia="zh-CN"/>
        </w:rPr>
        <w:t>平台</w:t>
      </w:r>
      <w:r>
        <w:rPr>
          <w:rFonts w:hint="eastAsia" w:ascii="仿宋_GB2312"/>
          <w:b/>
        </w:rPr>
        <w:t>集聚发展。</w:t>
      </w:r>
      <w:r>
        <w:rPr>
          <w:rFonts w:hint="eastAsia" w:ascii="仿宋_GB2312"/>
        </w:rPr>
        <w:t>支持</w:t>
      </w:r>
      <w:r>
        <w:rPr>
          <w:rFonts w:hint="eastAsia" w:ascii="仿宋_GB2312" w:hAnsi="仿宋_GB2312" w:cs="仿宋_GB2312"/>
        </w:rPr>
        <w:t>香港高校、</w:t>
      </w:r>
      <w:r>
        <w:rPr>
          <w:rFonts w:hint="eastAsia"/>
        </w:rPr>
        <w:t>世界500强、央国企、创新</w:t>
      </w:r>
      <w:r>
        <w:rPr>
          <w:rFonts w:hint="eastAsia"/>
          <w:lang w:val="en-US" w:eastAsia="zh-CN"/>
        </w:rPr>
        <w:t>型</w:t>
      </w:r>
      <w:r>
        <w:rPr>
          <w:rFonts w:hint="eastAsia"/>
        </w:rPr>
        <w:t>企业</w:t>
      </w:r>
      <w:r>
        <w:rPr>
          <w:rFonts w:hint="eastAsia" w:ascii="仿宋_GB2312" w:hAnsi="仿宋_GB2312" w:cs="仿宋_GB2312"/>
        </w:rPr>
        <w:t>在河套设立</w:t>
      </w:r>
      <w:r>
        <w:rPr>
          <w:rFonts w:hint="eastAsia" w:ascii="仿宋_GB2312" w:hAnsi="仿宋_GB2312" w:cs="仿宋_GB2312"/>
          <w:lang w:val="en-US" w:eastAsia="zh-CN"/>
        </w:rPr>
        <w:t>卓越研发中心、</w:t>
      </w:r>
      <w:r>
        <w:rPr>
          <w:rFonts w:hint="eastAsia" w:ascii="仿宋_GB2312" w:hAnsi="仿宋_GB2312" w:cs="仿宋_GB2312"/>
        </w:rPr>
        <w:t>联合实验室、概念验证中心，鼓励</w:t>
      </w:r>
      <w:r>
        <w:rPr>
          <w:rFonts w:hint="eastAsia" w:ascii="仿宋_GB2312" w:hAnsi="仿宋_GB2312" w:cs="仿宋_GB2312"/>
          <w:lang w:val="en-US" w:eastAsia="zh-CN"/>
        </w:rPr>
        <w:t>深圳</w:t>
      </w:r>
      <w:r>
        <w:rPr>
          <w:rFonts w:hint="eastAsia" w:ascii="仿宋_GB2312" w:hAnsi="仿宋_GB2312" w:cs="仿宋_GB2312"/>
        </w:rPr>
        <w:t>企业与香港科研团队共建新型研发机构</w:t>
      </w:r>
      <w:r>
        <w:rPr>
          <w:rFonts w:hint="eastAsia" w:ascii="仿宋_GB2312" w:hAnsi="仿宋_GB2312" w:cs="仿宋_GB2312"/>
          <w:lang w:eastAsia="zh-CN"/>
        </w:rPr>
        <w:t>，</w:t>
      </w:r>
      <w:r>
        <w:rPr>
          <w:rFonts w:hint="eastAsia" w:ascii="仿宋_GB2312" w:hAnsi="仿宋_GB2312" w:cs="仿宋_GB2312"/>
        </w:rPr>
        <w:t>引导</w:t>
      </w:r>
      <w:r>
        <w:rPr>
          <w:rFonts w:hint="eastAsia" w:ascii="仿宋_GB2312" w:hAnsi="仿宋_GB2312" w:cs="仿宋_GB2312"/>
          <w:lang w:val="en-US" w:eastAsia="zh-CN"/>
        </w:rPr>
        <w:t>科研机构</w:t>
      </w:r>
      <w:r>
        <w:rPr>
          <w:rFonts w:hint="eastAsia" w:ascii="仿宋_GB2312" w:hAnsi="仿宋_GB2312" w:cs="仿宋_GB2312"/>
        </w:rPr>
        <w:t>平台面向</w:t>
      </w:r>
      <w:r>
        <w:rPr>
          <w:rFonts w:hint="eastAsia" w:ascii="仿宋_GB2312" w:hAnsi="仿宋_GB2312" w:cs="仿宋_GB2312"/>
          <w:lang w:val="en-US" w:eastAsia="zh-CN"/>
        </w:rPr>
        <w:t>企业</w:t>
      </w:r>
      <w:r>
        <w:rPr>
          <w:rFonts w:hint="eastAsia" w:ascii="仿宋_GB2312" w:hAnsi="仿宋_GB2312" w:cs="仿宋_GB2312"/>
        </w:rPr>
        <w:t>提供实验验证、工艺开发、应用研发等服务</w:t>
      </w:r>
      <w:r>
        <w:rPr>
          <w:rFonts w:hint="eastAsia" w:ascii="仿宋_GB2312" w:hAnsi="仿宋_GB2312" w:cs="仿宋_GB2312"/>
          <w:lang w:eastAsia="zh-CN"/>
        </w:rPr>
        <w:t>，</w:t>
      </w:r>
      <w:r>
        <w:rPr>
          <w:rFonts w:hint="eastAsia" w:ascii="仿宋_GB2312" w:hAnsi="仿宋_GB2312" w:cs="仿宋_GB2312"/>
          <w:color w:val="000000"/>
        </w:rPr>
        <w:t>对符合条件的机构，按项目</w:t>
      </w:r>
      <w:r>
        <w:rPr>
          <w:rFonts w:hint="eastAsia" w:ascii="仿宋_GB2312" w:hAnsi="仿宋_GB2312" w:cs="仿宋_GB2312"/>
        </w:rPr>
        <w:t>审定总投资额的50%，给予不超过2000万元</w:t>
      </w:r>
      <w:r>
        <w:rPr>
          <w:rFonts w:hint="eastAsia" w:ascii="仿宋_GB2312" w:hAnsi="仿宋_GB2312" w:cs="仿宋_GB2312"/>
          <w:lang w:eastAsia="zh"/>
        </w:rPr>
        <w:t>支持</w:t>
      </w:r>
      <w:r>
        <w:rPr>
          <w:rFonts w:hint="eastAsia" w:ascii="仿宋_GB2312" w:hAnsi="仿宋_GB2312" w:cs="仿宋_GB2312"/>
        </w:rPr>
        <w:t>。建设河套国际产业与标准组织聚集区，</w:t>
      </w:r>
      <w:r>
        <w:rPr>
          <w:rFonts w:hint="eastAsia" w:ascii="仿宋_GB2312" w:hAnsi="仿宋_GB2312" w:cs="仿宋_GB2312"/>
          <w:lang w:val="en-US" w:eastAsia="zh-CN"/>
        </w:rPr>
        <w:t>积极引进国际组织及其代表机构，支持国际产业与标准组织</w:t>
      </w:r>
      <w:r>
        <w:rPr>
          <w:rFonts w:hint="eastAsia" w:ascii="仿宋_GB2312" w:hAnsi="仿宋_GB2312" w:cs="仿宋_GB2312"/>
        </w:rPr>
        <w:t>主导或参与制定国际标准</w:t>
      </w:r>
      <w:r>
        <w:rPr>
          <w:rFonts w:hint="eastAsia" w:ascii="仿宋_GB2312" w:hAnsi="仿宋_GB2312" w:cs="仿宋_GB2312"/>
          <w:lang w:eastAsia="zh-CN"/>
        </w:rPr>
        <w:t>；</w:t>
      </w:r>
      <w:r>
        <w:rPr>
          <w:rFonts w:hint="eastAsia" w:ascii="仿宋_GB2312" w:hAnsi="仿宋_GB2312" w:cs="仿宋_GB2312"/>
        </w:rPr>
        <w:t>吸引内地与港澳高校和科研机构合作办刊，对新设立且符合条件的国际组织、科技期刊或学术出版集团等行业相关服务组织及平台，给予不超过300万元开办</w:t>
      </w:r>
      <w:r>
        <w:rPr>
          <w:rFonts w:hint="eastAsia" w:ascii="仿宋_GB2312" w:hAnsi="仿宋_GB2312" w:cs="仿宋_GB2312"/>
          <w:lang w:eastAsia="zh"/>
        </w:rPr>
        <w:t>经费支持</w:t>
      </w:r>
      <w:r>
        <w:rPr>
          <w:rFonts w:hint="eastAsia" w:ascii="仿宋_GB2312" w:hAnsi="仿宋_GB2312" w:cs="仿宋_GB2312"/>
        </w:rPr>
        <w:t>。建设以中试平台为支撑的国际性孵化育成体系</w:t>
      </w:r>
      <w:r>
        <w:rPr>
          <w:rFonts w:hint="eastAsia" w:ascii="仿宋_GB2312" w:hAnsi="仿宋_GB2312" w:cs="仿宋_GB2312"/>
          <w:lang w:eastAsia="zh-CN"/>
        </w:rPr>
        <w:t>，</w:t>
      </w:r>
      <w:r>
        <w:rPr>
          <w:rFonts w:hint="eastAsia" w:ascii="仿宋_GB2312" w:hAnsi="仿宋_GB2312" w:cs="仿宋_GB2312"/>
        </w:rPr>
        <w:t>通过国际孵化器设计竞赛等方式，引进和建设高水平国际性孵化器，完善跨境导入国际性资源、企业出海等场景的苗圃-孵化器-加速器的孵化育成体系</w:t>
      </w:r>
      <w:r>
        <w:rPr>
          <w:rFonts w:hint="eastAsia" w:ascii="仿宋_GB2312" w:hAnsi="仿宋_GB2312" w:cs="仿宋_GB2312"/>
          <w:lang w:eastAsia="zh-CN"/>
        </w:rPr>
        <w:t>，</w:t>
      </w:r>
      <w:r>
        <w:rPr>
          <w:rFonts w:hint="eastAsia" w:ascii="仿宋_GB2312" w:hAnsi="仿宋_GB2312" w:cs="仿宋_GB2312"/>
        </w:rPr>
        <w:t>对服务港澳及国际创新项目落地等方面成效显著的孵化载体，经专项绩效评估，给予每年不超过300万元奖励；对符合条件的新建中试转化平台，按项目审定总投资额的50%，给予不超过2000万元</w:t>
      </w:r>
      <w:r>
        <w:rPr>
          <w:rFonts w:hint="eastAsia" w:ascii="仿宋_GB2312" w:hAnsi="仿宋_GB2312" w:cs="仿宋_GB2312"/>
          <w:lang w:eastAsia="zh"/>
        </w:rPr>
        <w:t>支持</w:t>
      </w:r>
      <w:r>
        <w:rPr>
          <w:rFonts w:hint="eastAsia" w:ascii="仿宋_GB2312" w:hAnsi="仿宋_GB2312" w:cs="仿宋_GB2312"/>
        </w:rPr>
        <w:t>。</w:t>
      </w:r>
    </w:p>
    <w:p w14:paraId="78E02FCE">
      <w:pPr>
        <w:ind w:firstLine="640" w:firstLineChars="200"/>
        <w:rPr>
          <w:rFonts w:ascii="楷体_GB2312" w:hAnsi="黑体" w:eastAsia="楷体_GB2312" w:cs="黑体"/>
        </w:rPr>
      </w:pPr>
      <w:r>
        <w:rPr>
          <w:rFonts w:hint="eastAsia" w:ascii="楷体_GB2312" w:hAnsi="黑体" w:eastAsia="楷体_GB2312" w:cs="黑体"/>
        </w:rPr>
        <w:t>（二）落实税收优惠政策</w:t>
      </w:r>
    </w:p>
    <w:p w14:paraId="31CA359F">
      <w:pPr>
        <w:adjustRightInd w:val="0"/>
        <w:snapToGrid w:val="0"/>
        <w:ind w:firstLine="643" w:firstLineChars="200"/>
        <w:rPr>
          <w:rFonts w:ascii="仿宋_GB2312" w:hAnsi="仿宋_GB2312" w:cs="仿宋_GB2312"/>
        </w:rPr>
      </w:pPr>
      <w:r>
        <w:rPr>
          <w:rFonts w:hint="eastAsia" w:eastAsia="楷体_GB2312"/>
          <w:b/>
          <w:lang w:val="en-US" w:eastAsia="zh-CN"/>
        </w:rPr>
        <w:t>4</w:t>
      </w:r>
      <w:r>
        <w:rPr>
          <w:rFonts w:eastAsia="楷体_GB2312"/>
          <w:b/>
        </w:rPr>
        <w:t>.</w:t>
      </w:r>
      <w:r>
        <w:rPr>
          <w:rFonts w:hint="eastAsia" w:eastAsia="楷体_GB2312"/>
          <w:b/>
        </w:rPr>
        <w:t>推动税收优惠政策应享尽享</w:t>
      </w:r>
      <w:r>
        <w:rPr>
          <w:rFonts w:hint="eastAsia" w:ascii="楷体_GB2312" w:hAnsi="黑体" w:eastAsia="楷体_GB2312" w:cs="黑体"/>
        </w:rPr>
        <w:t>。</w:t>
      </w:r>
      <w:r>
        <w:rPr>
          <w:rFonts w:ascii="仿宋_GB2312" w:hAnsi="仿宋_GB2312" w:cs="仿宋_GB2312"/>
        </w:rPr>
        <w:t>对符合</w:t>
      </w:r>
      <w:r>
        <w:rPr>
          <w:rFonts w:hint="eastAsia" w:ascii="仿宋_GB2312" w:hAnsi="仿宋_GB2312" w:cs="仿宋_GB2312"/>
        </w:rPr>
        <w:t>河套</w:t>
      </w:r>
      <w:r>
        <w:rPr>
          <w:rFonts w:ascii="仿宋_GB2312" w:hAnsi="仿宋_GB2312" w:cs="仿宋_GB2312"/>
        </w:rPr>
        <w:t>企业所得税优</w:t>
      </w:r>
      <w:r>
        <w:rPr>
          <w:rFonts w:hint="eastAsia" w:ascii="仿宋_GB2312" w:hAnsi="仿宋_GB2312" w:cs="仿宋_GB2312"/>
        </w:rPr>
        <w:t>惠政策相关条件的科技服务业和技术先进型服务业的企业或机构，按照国家有关规定，减按15%的税率征收企业所得税。</w:t>
      </w:r>
      <w:r>
        <w:rPr>
          <w:rFonts w:hint="eastAsia" w:ascii="仿宋_GB2312" w:hAnsi="仿宋_GB2312" w:cs="仿宋_GB2312"/>
          <w:lang w:val="en-US" w:eastAsia="zh-CN"/>
        </w:rPr>
        <w:t>对</w:t>
      </w:r>
      <w:r>
        <w:rPr>
          <w:rFonts w:hint="eastAsia" w:ascii="仿宋_GB2312" w:hAnsi="仿宋_GB2312" w:cs="仿宋_GB2312"/>
        </w:rPr>
        <w:t>在河套科技服务业企业工作的香港居民，对其个人所得税税负超过香港税负的部分予以免征。符合条件的境外高端及紧缺人才，按内地与香港个人所得税税负差额给予补贴，该补贴免征个人所得税。</w:t>
      </w:r>
    </w:p>
    <w:p w14:paraId="27EA7AAD">
      <w:pPr>
        <w:ind w:firstLine="640" w:firstLineChars="200"/>
        <w:rPr>
          <w:rFonts w:ascii="楷体_GB2312" w:hAnsi="黑体" w:eastAsia="楷体_GB2312" w:cs="黑体"/>
        </w:rPr>
      </w:pPr>
      <w:r>
        <w:rPr>
          <w:rFonts w:hint="eastAsia" w:ascii="楷体_GB2312" w:hAnsi="黑体" w:eastAsia="楷体_GB2312" w:cs="黑体"/>
        </w:rPr>
        <w:t>（三）构筑国际科研服务业人才港</w:t>
      </w:r>
    </w:p>
    <w:p w14:paraId="411889F3">
      <w:pPr>
        <w:adjustRightInd w:val="0"/>
        <w:snapToGrid w:val="0"/>
        <w:ind w:firstLine="643" w:firstLineChars="200"/>
        <w:jc w:val="both"/>
        <w:rPr>
          <w:rFonts w:ascii="仿宋_GB2312" w:hAnsi="仿宋_GB2312" w:cs="仿宋_GB2312"/>
        </w:rPr>
      </w:pPr>
      <w:r>
        <w:rPr>
          <w:rFonts w:hint="eastAsia"/>
          <w:b/>
          <w:lang w:val="en-US" w:eastAsia="zh-CN"/>
        </w:rPr>
        <w:t>5</w:t>
      </w:r>
      <w:r>
        <w:rPr>
          <w:b/>
        </w:rPr>
        <w:t>.完善</w:t>
      </w:r>
      <w:r>
        <w:rPr>
          <w:rFonts w:hint="eastAsia" w:ascii="仿宋_GB2312" w:hAnsi="仿宋_GB2312" w:cs="仿宋_GB2312"/>
          <w:b/>
        </w:rPr>
        <w:t>河套人才支撑体系</w:t>
      </w:r>
      <w:r>
        <w:rPr>
          <w:rFonts w:hint="eastAsia" w:ascii="仿宋_GB2312" w:hAnsi="仿宋_GB2312" w:cs="仿宋_GB2312"/>
        </w:rPr>
        <w:t>。重点吸引科研服务业领域的拔尖人才、专业人才和紧缺人才，积极推荐符合条件的申报国家重大人才计划，入选后可享受人才奖励和配套保障。支持国际组织、期刊、数据平台、评级评估、专业产业服务平台等机构的负责人、执委、主编、分析师</w:t>
      </w:r>
      <w:r>
        <w:rPr>
          <w:rFonts w:hint="eastAsia" w:ascii="仿宋_GB2312" w:hAnsi="仿宋_GB2312" w:cs="仿宋_GB2312"/>
          <w:lang w:val="en-US" w:eastAsia="zh-CN"/>
        </w:rPr>
        <w:t>等</w:t>
      </w:r>
      <w:r>
        <w:rPr>
          <w:rFonts w:hint="eastAsia" w:ascii="仿宋_GB2312" w:hAnsi="仿宋_GB2312" w:cs="仿宋_GB2312"/>
        </w:rPr>
        <w:t>方面人才在河套发展，符合条件的纳入人才体系。</w:t>
      </w:r>
      <w:r>
        <w:rPr>
          <w:rFonts w:hint="eastAsia" w:ascii="仿宋_GB2312" w:hAnsi="仿宋_GB2312" w:cs="仿宋_GB2312"/>
          <w:color w:val="121212"/>
        </w:rPr>
        <w:t>全面放开对港澳台及外籍人士担任科研服务业企业或机构董事、监事、高管及负责人等职位的限制。</w:t>
      </w:r>
      <w:r>
        <w:rPr>
          <w:rFonts w:hint="eastAsia" w:ascii="仿宋_GB2312" w:hAnsi="仿宋_GB2312" w:cs="仿宋_GB2312"/>
        </w:rPr>
        <w:t>与香港高校联合培养科技服务业人才，</w:t>
      </w:r>
      <w:r>
        <w:rPr>
          <w:rFonts w:hint="eastAsia"/>
        </w:rPr>
        <w:t>建立两地人才资格互认机制，</w:t>
      </w:r>
      <w:r>
        <w:rPr>
          <w:rFonts w:hint="eastAsia" w:ascii="仿宋_GB2312" w:hAnsi="仿宋_GB2312" w:cs="仿宋_GB2312"/>
        </w:rPr>
        <w:t>支持香港</w:t>
      </w:r>
      <w:r>
        <w:rPr>
          <w:rFonts w:hint="eastAsia"/>
        </w:rPr>
        <w:t>法律执业者、境外基金相关从业资质、注册建筑师、注册专业规划师及</w:t>
      </w:r>
      <w:r>
        <w:rPr>
          <w:rFonts w:hint="eastAsia" w:ascii="仿宋_GB2312" w:hAnsi="仿宋_GB2312" w:cs="仿宋_GB2312"/>
        </w:rPr>
        <w:t>工程服务业等领域的香港专业人士备案后直接授予执业资质、资格，在河套</w:t>
      </w:r>
      <w:r>
        <w:rPr>
          <w:rFonts w:hint="eastAsia"/>
        </w:rPr>
        <w:t>深圳园区提供专业服务</w:t>
      </w:r>
      <w:r>
        <w:rPr>
          <w:rFonts w:hint="eastAsia" w:ascii="仿宋_GB2312" w:hAnsi="仿宋_GB2312" w:cs="仿宋_GB2312"/>
        </w:rPr>
        <w:t>。</w:t>
      </w:r>
    </w:p>
    <w:p w14:paraId="36C1F214">
      <w:pPr>
        <w:adjustRightInd w:val="0"/>
        <w:snapToGrid w:val="0"/>
        <w:ind w:firstLine="643" w:firstLineChars="200"/>
        <w:jc w:val="both"/>
        <w:rPr>
          <w:rFonts w:ascii="仿宋_GB2312" w:hAnsi="仿宋_GB2312" w:cs="仿宋_GB2312"/>
        </w:rPr>
      </w:pPr>
      <w:r>
        <w:rPr>
          <w:rFonts w:hint="eastAsia"/>
          <w:b/>
          <w:lang w:val="en-US" w:eastAsia="zh-CN"/>
        </w:rPr>
        <w:t>6</w:t>
      </w:r>
      <w:r>
        <w:rPr>
          <w:b/>
        </w:rPr>
        <w:t>.</w:t>
      </w:r>
      <w:r>
        <w:rPr>
          <w:rFonts w:hint="eastAsia" w:ascii="仿宋_GB2312"/>
          <w:b/>
        </w:rPr>
        <w:t>开展国际人才服务保障配套改革</w:t>
      </w:r>
      <w:r>
        <w:rPr>
          <w:rFonts w:hint="eastAsia" w:ascii="仿宋_GB2312" w:hAnsi="黑体" w:cs="黑体"/>
        </w:rPr>
        <w:t>。</w:t>
      </w:r>
      <w:r>
        <w:rPr>
          <w:rFonts w:hint="eastAsia" w:ascii="仿宋_GB2312" w:hAnsi="仿宋_GB2312" w:cs="仿宋_GB2312"/>
        </w:rPr>
        <w:t>构建与国际接轨的人才引进使用、服务保障、社会融入制度体系，建立覆盖入境签证、工作居留、便利通关全流程的入境居留机制。建设国际科技人才综合服务平台，提供国际人才引进一站式服务，为经备案的境外人士在深圳园区海关监管区域停居留及工作提供便利；建设国际人才社区，配套跨境医疗、教育设施，打造“一站式”人才服务平台。</w:t>
      </w:r>
    </w:p>
    <w:p w14:paraId="037DC53A">
      <w:pPr>
        <w:adjustRightInd w:val="0"/>
        <w:snapToGrid w:val="0"/>
        <w:ind w:firstLine="640" w:firstLineChars="200"/>
        <w:rPr>
          <w:rFonts w:ascii="楷体_GB2312" w:hAnsi="黑体" w:eastAsia="楷体_GB2312" w:cs="黑体"/>
        </w:rPr>
      </w:pPr>
      <w:r>
        <w:rPr>
          <w:rFonts w:hint="eastAsia" w:ascii="楷体_GB2312" w:hAnsi="黑体" w:eastAsia="楷体_GB2312" w:cs="黑体"/>
        </w:rPr>
        <w:t>（四）建设河套科技服务业集聚区</w:t>
      </w:r>
    </w:p>
    <w:p w14:paraId="1939F8CF">
      <w:pPr>
        <w:adjustRightInd w:val="0"/>
        <w:snapToGrid w:val="0"/>
        <w:ind w:firstLine="643" w:firstLineChars="200"/>
        <w:jc w:val="both"/>
      </w:pPr>
      <w:r>
        <w:rPr>
          <w:rFonts w:hint="eastAsia" w:eastAsia="楷体_GB2312"/>
          <w:b/>
          <w:lang w:val="en-US" w:eastAsia="zh-CN"/>
        </w:rPr>
        <w:t>7</w:t>
      </w:r>
      <w:r>
        <w:rPr>
          <w:rFonts w:eastAsia="楷体_GB2312"/>
          <w:b/>
        </w:rPr>
        <w:t>.</w:t>
      </w:r>
      <w:r>
        <w:rPr>
          <w:rFonts w:hint="eastAsia" w:ascii="仿宋_GB2312"/>
          <w:b/>
        </w:rPr>
        <w:t>提供高品质低成本产业空间</w:t>
      </w:r>
      <w:r>
        <w:rPr>
          <w:rFonts w:hint="eastAsia" w:ascii="仿宋_GB2312" w:hAnsi="黑体" w:cs="黑体"/>
        </w:rPr>
        <w:t>。</w:t>
      </w:r>
      <w:r>
        <w:t>在福田保税区筹集5万平方米，支持深港科创综合服务机构落户运行。</w:t>
      </w:r>
      <w:r>
        <w:rPr>
          <w:rFonts w:hint="eastAsia"/>
        </w:rPr>
        <w:t>在国际协同创新区规划建设2</w:t>
      </w:r>
      <w:r>
        <w:t>0</w:t>
      </w:r>
      <w:r>
        <w:rPr>
          <w:rFonts w:hint="eastAsia"/>
        </w:rPr>
        <w:t>万平方米“深港科技服务产业园”，提供高端学术交流、联合实验室、研发办公、中试生产、展示交易等复合空间。建设跨境和快速连接各重点区域的口岸、交通基础设施，提升口岸通关效率，实现“半小时科研要素跨境流动圈”“2小时科技产业联动圈”。</w:t>
      </w:r>
    </w:p>
    <w:p w14:paraId="0731CABD">
      <w:pPr>
        <w:adjustRightInd w:val="0"/>
        <w:snapToGrid w:val="0"/>
        <w:ind w:firstLine="640" w:firstLineChars="200"/>
        <w:rPr>
          <w:rFonts w:ascii="楷体_GB2312" w:hAnsi="黑体" w:eastAsia="楷体_GB2312" w:cs="黑体"/>
        </w:rPr>
      </w:pPr>
      <w:r>
        <w:rPr>
          <w:rFonts w:hint="eastAsia" w:ascii="楷体_GB2312" w:hAnsi="黑体" w:eastAsia="楷体_GB2312" w:cs="黑体"/>
        </w:rPr>
        <w:t>（五）完善跨境科技服务业创新生态</w:t>
      </w:r>
    </w:p>
    <w:p w14:paraId="088C7E80">
      <w:pPr>
        <w:ind w:firstLine="643" w:firstLineChars="200"/>
        <w:jc w:val="both"/>
        <w:rPr>
          <w:b/>
          <w:bCs/>
          <w:shd w:val="clear" w:color="auto" w:fill="FFFFFF"/>
        </w:rPr>
      </w:pPr>
      <w:r>
        <w:rPr>
          <w:rFonts w:hint="eastAsia" w:eastAsia="楷体_GB2312"/>
          <w:b/>
          <w:lang w:val="en-US" w:eastAsia="zh-CN"/>
        </w:rPr>
        <w:t>8</w:t>
      </w:r>
      <w:r>
        <w:rPr>
          <w:rFonts w:eastAsia="楷体_GB2312"/>
          <w:b/>
        </w:rPr>
        <w:t>.</w:t>
      </w:r>
      <w:bookmarkStart w:id="3" w:name="OLE_LINK13"/>
      <w:bookmarkStart w:id="4" w:name="OLE_LINK14"/>
      <w:r>
        <w:rPr>
          <w:rFonts w:hint="eastAsia"/>
          <w:b/>
          <w:bCs/>
          <w:shd w:val="clear" w:color="auto" w:fill="FFFFFF"/>
        </w:rPr>
        <w:t>构建跨境样本服务体系。</w:t>
      </w:r>
      <w:r>
        <w:rPr>
          <w:rFonts w:hint="eastAsia"/>
        </w:rPr>
        <w:t>协同香港完善科技基础设施，按照国际及内地通行标准在河套建设公共生物样本库，明确使用和管理要求。简化河套合作区人类遗传资源、生物材料等科研货物的出境审批程序、入境检疫程序，鼓励科技服务业企业为河套科研机构和企业提供政策辅导和一站式综合服务。符合条件的河套科技服务业企业经一号通道跨境运送科研物资，优先办理卫生检疫审批，可选择专人携带等便捷运输方式。</w:t>
      </w:r>
      <w:bookmarkEnd w:id="3"/>
      <w:bookmarkEnd w:id="4"/>
    </w:p>
    <w:p w14:paraId="7112B44E">
      <w:pPr>
        <w:ind w:firstLine="643" w:firstLineChars="200"/>
        <w:jc w:val="both"/>
        <w:rPr>
          <w:rFonts w:hint="eastAsia" w:eastAsia="仿宋_GB2312"/>
          <w:lang w:eastAsia="zh-CN"/>
        </w:rPr>
      </w:pPr>
      <w:r>
        <w:rPr>
          <w:rFonts w:hint="eastAsia"/>
          <w:b/>
          <w:bCs/>
          <w:shd w:val="clear" w:color="auto" w:fill="FFFFFF"/>
          <w:lang w:val="en-US" w:eastAsia="zh-CN"/>
        </w:rPr>
        <w:t>9</w:t>
      </w:r>
      <w:r>
        <w:rPr>
          <w:rFonts w:hint="eastAsia"/>
          <w:b/>
          <w:bCs/>
          <w:shd w:val="clear" w:color="auto" w:fill="FFFFFF"/>
        </w:rPr>
        <w:t>.构建数据服务体系</w:t>
      </w:r>
      <w:r>
        <w:rPr>
          <w:rFonts w:hint="eastAsia"/>
        </w:rPr>
        <w:t>。探索“数据跨境流动负面清单”机制，建设国际数据服务枢纽，提供数据安全认证等服务，支持国际金融等领域数据应用。进一步发挥河套数据跨境流动服务平台作用，为科研机构和企业提供数据跨境合规初筛、预评等辅导。引进香港数据服务企业，培育“深圳数据处理+香港市场拓展”合作模式。引导科技服务业企业加强大数据、人工智能、大模型等数字技术应用，培育共享科研、数字化研发协同、敏捷研发等新业态</w:t>
      </w:r>
      <w:r>
        <w:rPr>
          <w:rFonts w:hint="eastAsia"/>
          <w:lang w:eastAsia="zh-CN"/>
        </w:rPr>
        <w:t>。</w:t>
      </w:r>
    </w:p>
    <w:p w14:paraId="10C0AF30">
      <w:pPr>
        <w:ind w:firstLine="643" w:firstLineChars="200"/>
        <w:jc w:val="both"/>
        <w:rPr>
          <w:rFonts w:ascii="楷体_GB2312" w:eastAsia="楷体_GB2312"/>
        </w:rPr>
      </w:pPr>
      <w:r>
        <w:rPr>
          <w:b/>
        </w:rPr>
        <w:t>1</w:t>
      </w:r>
      <w:r>
        <w:rPr>
          <w:rFonts w:hint="eastAsia"/>
          <w:b/>
          <w:lang w:val="en-US" w:eastAsia="zh-CN"/>
        </w:rPr>
        <w:t>0</w:t>
      </w:r>
      <w:r>
        <w:rPr>
          <w:b/>
        </w:rPr>
        <w:t>.</w:t>
      </w:r>
      <w:r>
        <w:rPr>
          <w:rFonts w:hint="eastAsia"/>
          <w:b/>
        </w:rPr>
        <w:t>构建科技金融</w:t>
      </w:r>
      <w:r>
        <w:rPr>
          <w:rFonts w:hint="eastAsia"/>
          <w:b/>
          <w:lang w:val="en-US" w:eastAsia="zh-CN"/>
        </w:rPr>
        <w:t>和知识产权科技成果</w:t>
      </w:r>
      <w:r>
        <w:rPr>
          <w:rFonts w:hint="eastAsia"/>
          <w:b/>
        </w:rPr>
        <w:t>跨境对接机制</w:t>
      </w:r>
      <w:r>
        <w:rPr>
          <w:rFonts w:hint="eastAsia"/>
        </w:rPr>
        <w:t>。推动各类风投创投机构通过参与跨境双币母基金及系列专业子基金、合格境外有限合伙人试点等方式，在河套深圳园区设立投早投小的科创基金或并购基金，开展深港科技服务业联合投资，重点支持跨境技术转移、中试孵化项目。推动跨境知识产权证券化试点，探索“专利评估—质押融资—跨境交易”全链条金融服务。支持河套深圳园区科创企业赴港上市和返回内地资本市场上市，进一步拓宽科技创新型企业融资渠道。鼓励金融机构发挥资源优势，为河套引荐优质科研企业和项目。更好发挥国家知识产权运营（深圳河套）国际转化试点平台、</w:t>
      </w:r>
      <w:r>
        <w:rPr>
          <w:rFonts w:hint="eastAsia"/>
          <w:lang w:val="en-US" w:eastAsia="zh-CN"/>
        </w:rPr>
        <w:t>深交所科交中心、</w:t>
      </w:r>
      <w:bookmarkStart w:id="7" w:name="_GoBack"/>
      <w:bookmarkEnd w:id="7"/>
      <w:r>
        <w:rPr>
          <w:rFonts w:hint="eastAsia"/>
        </w:rPr>
        <w:t>深圳数据交易所等平台作用，探索建立跨境知识产权融资与交易模式，依托相关领域专业服务机构，提供专利申请、商标注册、维权保护等一站式服务，推动知识产权跨境交易与质押融资。</w:t>
      </w:r>
    </w:p>
    <w:p w14:paraId="2F107714">
      <w:pPr>
        <w:ind w:firstLine="640" w:firstLineChars="200"/>
        <w:jc w:val="both"/>
        <w:rPr>
          <w:rFonts w:ascii="黑体" w:hAnsi="黑体" w:eastAsia="黑体"/>
        </w:rPr>
      </w:pPr>
      <w:r>
        <w:rPr>
          <w:rFonts w:hint="eastAsia" w:ascii="黑体" w:hAnsi="黑体" w:eastAsia="黑体"/>
        </w:rPr>
        <w:t>三、保障措施</w:t>
      </w:r>
    </w:p>
    <w:p w14:paraId="504DDB3F">
      <w:pPr>
        <w:ind w:firstLine="640" w:firstLineChars="200"/>
        <w:jc w:val="both"/>
      </w:pPr>
      <w:r>
        <w:rPr>
          <w:rFonts w:hint="eastAsia"/>
        </w:rPr>
        <w:t>充分依托市委科创委办公室统筹协调作用，</w:t>
      </w:r>
      <w:r>
        <w:rPr>
          <w:rFonts w:hint="eastAsia"/>
          <w:lang w:val="en-US" w:eastAsia="zh-CN"/>
        </w:rPr>
        <w:t>建立</w:t>
      </w:r>
      <w:r>
        <w:rPr>
          <w:rFonts w:hint="eastAsia"/>
        </w:rPr>
        <w:t>由深圳市科技创新局和河套</w:t>
      </w:r>
      <w:bookmarkStart w:id="5" w:name="OLE_LINK3"/>
      <w:bookmarkStart w:id="6" w:name="OLE_LINK4"/>
      <w:r>
        <w:rPr>
          <w:rFonts w:hint="eastAsia"/>
        </w:rPr>
        <w:t>深港科技创新合作区</w:t>
      </w:r>
      <w:bookmarkEnd w:id="5"/>
      <w:bookmarkEnd w:id="6"/>
      <w:r>
        <w:rPr>
          <w:rFonts w:hint="eastAsia"/>
        </w:rPr>
        <w:t>深圳园区发展署牵头，深圳市发展改革委、深圳市工业信息化局、福田区等单位参与</w:t>
      </w:r>
      <w:r>
        <w:rPr>
          <w:rFonts w:hint="eastAsia"/>
          <w:lang w:val="en-US" w:eastAsia="zh-CN"/>
        </w:rPr>
        <w:t>共同推进河套深圳园区科技服务业高质量发展工作机制，</w:t>
      </w:r>
      <w:r>
        <w:rPr>
          <w:rFonts w:hint="eastAsia"/>
        </w:rPr>
        <w:t>协调解决跨境服务政策突破、要素流动等问题</w:t>
      </w:r>
      <w:r>
        <w:rPr>
          <w:rFonts w:hint="eastAsia"/>
          <w:lang w:eastAsia="zh-CN"/>
        </w:rPr>
        <w:t>，</w:t>
      </w:r>
      <w:r>
        <w:rPr>
          <w:rFonts w:hint="eastAsia"/>
        </w:rPr>
        <w:t>积极探索</w:t>
      </w:r>
      <w:r>
        <w:rPr>
          <w:rFonts w:hint="eastAsia" w:ascii="仿宋_GB2312" w:hAnsi="仿宋_GB2312" w:cs="仿宋_GB2312"/>
        </w:rPr>
        <w:t>适用河套的科技服务业</w:t>
      </w:r>
      <w:r>
        <w:rPr>
          <w:rFonts w:hint="eastAsia" w:ascii="仿宋_GB2312" w:hAnsi="仿宋_GB2312" w:cs="仿宋_GB2312"/>
          <w:lang w:val="en-US" w:eastAsia="zh-CN"/>
        </w:rPr>
        <w:t>专项支持政策和</w:t>
      </w:r>
      <w:r>
        <w:rPr>
          <w:rFonts w:hint="eastAsia" w:ascii="仿宋_GB2312" w:hAnsi="仿宋_GB2312" w:cs="仿宋_GB2312"/>
        </w:rPr>
        <w:t>管理体系</w:t>
      </w:r>
      <w:r>
        <w:rPr>
          <w:rFonts w:hint="eastAsia" w:ascii="仿宋_GB2312" w:hAnsi="仿宋_GB2312" w:cs="仿宋_GB2312"/>
          <w:lang w:eastAsia="zh-CN"/>
        </w:rPr>
        <w:t>，确保各项措施落地落实</w:t>
      </w:r>
      <w:r>
        <w:rPr>
          <w:rFonts w:hint="eastAsia" w:ascii="仿宋_GB2312" w:hAnsi="仿宋_GB2312" w:cs="仿宋_GB2312"/>
        </w:rPr>
        <w:t>。</w:t>
      </w:r>
    </w:p>
    <w:sectPr>
      <w:footerReference r:id="rId5" w:type="default"/>
      <w:footerReference r:id="rId6" w:type="even"/>
      <w:pgSz w:w="11906" w:h="16838"/>
      <w:pgMar w:top="2098" w:right="1474" w:bottom="1985" w:left="1588" w:header="851" w:footer="1588" w:gutter="0"/>
      <w:cols w:space="425" w:num="1"/>
      <w:docGrid w:type="lines" w:linePitch="435"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modern"/>
    <w:pitch w:val="default"/>
    <w:sig w:usb0="00000001" w:usb1="080E0000" w:usb2="00000000" w:usb3="00000000" w:csb0="00040000" w:csb1="00000000"/>
  </w:font>
  <w:font w:name="方正小标宋_GBK">
    <w:altName w:val="微软雅黑"/>
    <w:panose1 w:val="03000509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楷体_GB2312">
    <w:panose1 w:val="02010609030101010101"/>
    <w:charset w:val="86"/>
    <w:family w:val="modern"/>
    <w:pitch w:val="default"/>
    <w:sig w:usb0="00000001" w:usb1="080E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FE04C5">
    <w:pPr>
      <w:pStyle w:val="3"/>
    </w:pPr>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E99455">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14:paraId="68E99455">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0A32B7">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F2B9C5">
                          <w:pPr>
                            <w:pStyle w:val="3"/>
                          </w:pPr>
                          <w:r>
                            <w:fldChar w:fldCharType="begin"/>
                          </w:r>
                          <w:r>
                            <w:instrText xml:space="preserve"> PAGE  \* MERGEFORMAT </w:instrText>
                          </w:r>
                          <w:r>
                            <w:fldChar w:fldCharType="separate"/>
                          </w:r>
                          <w:r>
                            <w:t>6</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8F2B9C5">
                    <w:pPr>
                      <w:pStyle w:val="3"/>
                    </w:pPr>
                    <w:r>
                      <w:fldChar w:fldCharType="begin"/>
                    </w:r>
                    <w:r>
                      <w:instrText xml:space="preserve"> PAGE  \* MERGEFORMAT </w:instrText>
                    </w:r>
                    <w:r>
                      <w:fldChar w:fldCharType="separate"/>
                    </w:r>
                    <w:r>
                      <w:t>6</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1"/>
  <w:bordersDoNotSurroundFooter w:val="1"/>
  <w:documentProtection w:enforcement="0"/>
  <w:defaultTabStop w:val="420"/>
  <w:evenAndOddHeaders w:val="1"/>
  <w:drawingGridHorizontalSpacing w:val="160"/>
  <w:drawingGridVerticalSpacing w:val="435"/>
  <w:displayHorizontalDrawingGridEvery w:val="2"/>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3A13"/>
    <w:rsid w:val="00002AFA"/>
    <w:rsid w:val="00007E85"/>
    <w:rsid w:val="000137FD"/>
    <w:rsid w:val="000400BF"/>
    <w:rsid w:val="00074DDD"/>
    <w:rsid w:val="00081A35"/>
    <w:rsid w:val="00082BC8"/>
    <w:rsid w:val="00086223"/>
    <w:rsid w:val="00086AC9"/>
    <w:rsid w:val="00091C3E"/>
    <w:rsid w:val="000B1A7E"/>
    <w:rsid w:val="000D5A54"/>
    <w:rsid w:val="00112144"/>
    <w:rsid w:val="00123C1B"/>
    <w:rsid w:val="00130E48"/>
    <w:rsid w:val="001329F2"/>
    <w:rsid w:val="00150A67"/>
    <w:rsid w:val="00172B25"/>
    <w:rsid w:val="0017563F"/>
    <w:rsid w:val="001816FE"/>
    <w:rsid w:val="00187FC0"/>
    <w:rsid w:val="001960CE"/>
    <w:rsid w:val="001A089B"/>
    <w:rsid w:val="001A6ABF"/>
    <w:rsid w:val="001E1FAD"/>
    <w:rsid w:val="001F108A"/>
    <w:rsid w:val="001F6139"/>
    <w:rsid w:val="00201E27"/>
    <w:rsid w:val="00204603"/>
    <w:rsid w:val="0021381D"/>
    <w:rsid w:val="002159D3"/>
    <w:rsid w:val="002336C6"/>
    <w:rsid w:val="00233708"/>
    <w:rsid w:val="002348CC"/>
    <w:rsid w:val="002359CD"/>
    <w:rsid w:val="00241233"/>
    <w:rsid w:val="002476BE"/>
    <w:rsid w:val="00254715"/>
    <w:rsid w:val="002807EF"/>
    <w:rsid w:val="002849BC"/>
    <w:rsid w:val="00287BA8"/>
    <w:rsid w:val="00294E4F"/>
    <w:rsid w:val="002D346E"/>
    <w:rsid w:val="002F7495"/>
    <w:rsid w:val="00301737"/>
    <w:rsid w:val="00301A64"/>
    <w:rsid w:val="00305FE7"/>
    <w:rsid w:val="0031196C"/>
    <w:rsid w:val="00320397"/>
    <w:rsid w:val="0032287E"/>
    <w:rsid w:val="003244BB"/>
    <w:rsid w:val="00336C2C"/>
    <w:rsid w:val="00364A1F"/>
    <w:rsid w:val="00380FE0"/>
    <w:rsid w:val="003A5FFB"/>
    <w:rsid w:val="003B71D8"/>
    <w:rsid w:val="003D508D"/>
    <w:rsid w:val="003F6AA8"/>
    <w:rsid w:val="004069A6"/>
    <w:rsid w:val="00422D47"/>
    <w:rsid w:val="00435C46"/>
    <w:rsid w:val="00444DBC"/>
    <w:rsid w:val="00450796"/>
    <w:rsid w:val="004536D0"/>
    <w:rsid w:val="00453C90"/>
    <w:rsid w:val="004610B4"/>
    <w:rsid w:val="00481D44"/>
    <w:rsid w:val="004836CD"/>
    <w:rsid w:val="0048541C"/>
    <w:rsid w:val="004B708D"/>
    <w:rsid w:val="004D5B71"/>
    <w:rsid w:val="004D76C3"/>
    <w:rsid w:val="00500EAA"/>
    <w:rsid w:val="00515E90"/>
    <w:rsid w:val="005425F6"/>
    <w:rsid w:val="00561DB2"/>
    <w:rsid w:val="00567B3B"/>
    <w:rsid w:val="005718EE"/>
    <w:rsid w:val="005737C0"/>
    <w:rsid w:val="0058146B"/>
    <w:rsid w:val="005944FF"/>
    <w:rsid w:val="005B07BA"/>
    <w:rsid w:val="005C7ED6"/>
    <w:rsid w:val="005D57BD"/>
    <w:rsid w:val="005F0800"/>
    <w:rsid w:val="005F41AB"/>
    <w:rsid w:val="005F6044"/>
    <w:rsid w:val="006040A3"/>
    <w:rsid w:val="00614BCA"/>
    <w:rsid w:val="006213D7"/>
    <w:rsid w:val="00633F4A"/>
    <w:rsid w:val="00655EA1"/>
    <w:rsid w:val="006758D4"/>
    <w:rsid w:val="00682872"/>
    <w:rsid w:val="00686182"/>
    <w:rsid w:val="0068780C"/>
    <w:rsid w:val="006912F8"/>
    <w:rsid w:val="0069486B"/>
    <w:rsid w:val="006A4124"/>
    <w:rsid w:val="006A4423"/>
    <w:rsid w:val="006B0F5E"/>
    <w:rsid w:val="006C4742"/>
    <w:rsid w:val="006C5B05"/>
    <w:rsid w:val="006D4B03"/>
    <w:rsid w:val="006F3F92"/>
    <w:rsid w:val="006F6B91"/>
    <w:rsid w:val="00700D95"/>
    <w:rsid w:val="00707E1D"/>
    <w:rsid w:val="00711CD6"/>
    <w:rsid w:val="00757891"/>
    <w:rsid w:val="00777C4F"/>
    <w:rsid w:val="00781C6F"/>
    <w:rsid w:val="0078485A"/>
    <w:rsid w:val="007A0D2E"/>
    <w:rsid w:val="007C14B3"/>
    <w:rsid w:val="007C3A13"/>
    <w:rsid w:val="007C7937"/>
    <w:rsid w:val="007D1516"/>
    <w:rsid w:val="007F425B"/>
    <w:rsid w:val="00803F24"/>
    <w:rsid w:val="00805B9C"/>
    <w:rsid w:val="0081175D"/>
    <w:rsid w:val="00815170"/>
    <w:rsid w:val="00827EBC"/>
    <w:rsid w:val="00841F0B"/>
    <w:rsid w:val="008538BE"/>
    <w:rsid w:val="008577E6"/>
    <w:rsid w:val="008623CA"/>
    <w:rsid w:val="008633A5"/>
    <w:rsid w:val="00877D7B"/>
    <w:rsid w:val="008825A4"/>
    <w:rsid w:val="00882EDB"/>
    <w:rsid w:val="00896FD6"/>
    <w:rsid w:val="008B6CCB"/>
    <w:rsid w:val="00903CF1"/>
    <w:rsid w:val="009124E0"/>
    <w:rsid w:val="00916358"/>
    <w:rsid w:val="00920F84"/>
    <w:rsid w:val="00923414"/>
    <w:rsid w:val="0094013D"/>
    <w:rsid w:val="00942C5D"/>
    <w:rsid w:val="00964D2B"/>
    <w:rsid w:val="0098097A"/>
    <w:rsid w:val="00981D63"/>
    <w:rsid w:val="009A13E7"/>
    <w:rsid w:val="009A2EB7"/>
    <w:rsid w:val="009B0AB6"/>
    <w:rsid w:val="009D7FC9"/>
    <w:rsid w:val="009E55F5"/>
    <w:rsid w:val="009F2F9C"/>
    <w:rsid w:val="00A009C4"/>
    <w:rsid w:val="00A308D9"/>
    <w:rsid w:val="00A33EE8"/>
    <w:rsid w:val="00A54F00"/>
    <w:rsid w:val="00AE2494"/>
    <w:rsid w:val="00AE726F"/>
    <w:rsid w:val="00B13C31"/>
    <w:rsid w:val="00B5386A"/>
    <w:rsid w:val="00B62989"/>
    <w:rsid w:val="00B80568"/>
    <w:rsid w:val="00BA0BC9"/>
    <w:rsid w:val="00BA2010"/>
    <w:rsid w:val="00BB781A"/>
    <w:rsid w:val="00BC0A3A"/>
    <w:rsid w:val="00C02043"/>
    <w:rsid w:val="00C14F0C"/>
    <w:rsid w:val="00C32B2F"/>
    <w:rsid w:val="00C420F3"/>
    <w:rsid w:val="00C46ABC"/>
    <w:rsid w:val="00C5142E"/>
    <w:rsid w:val="00C52FBA"/>
    <w:rsid w:val="00C84653"/>
    <w:rsid w:val="00CE7F34"/>
    <w:rsid w:val="00CF7DC8"/>
    <w:rsid w:val="00D03483"/>
    <w:rsid w:val="00D26D63"/>
    <w:rsid w:val="00D32DFE"/>
    <w:rsid w:val="00D332A6"/>
    <w:rsid w:val="00D36CAF"/>
    <w:rsid w:val="00D40D3A"/>
    <w:rsid w:val="00D42A6E"/>
    <w:rsid w:val="00DE20AC"/>
    <w:rsid w:val="00DE7FF1"/>
    <w:rsid w:val="00E12008"/>
    <w:rsid w:val="00E37400"/>
    <w:rsid w:val="00E54873"/>
    <w:rsid w:val="00E730FD"/>
    <w:rsid w:val="00E861B6"/>
    <w:rsid w:val="00EA5684"/>
    <w:rsid w:val="00EB378B"/>
    <w:rsid w:val="00EC4C21"/>
    <w:rsid w:val="00ED1FEA"/>
    <w:rsid w:val="00ED4AE6"/>
    <w:rsid w:val="00EF372C"/>
    <w:rsid w:val="00EF518C"/>
    <w:rsid w:val="00F10BCF"/>
    <w:rsid w:val="00F138DF"/>
    <w:rsid w:val="00F339FE"/>
    <w:rsid w:val="00F44BE0"/>
    <w:rsid w:val="00F82828"/>
    <w:rsid w:val="00F87C87"/>
    <w:rsid w:val="00FB2246"/>
    <w:rsid w:val="00FB692C"/>
    <w:rsid w:val="00FE0E81"/>
    <w:rsid w:val="00FE40B2"/>
    <w:rsid w:val="00FE4E35"/>
    <w:rsid w:val="01D039E7"/>
    <w:rsid w:val="028C627A"/>
    <w:rsid w:val="03FB485E"/>
    <w:rsid w:val="05502988"/>
    <w:rsid w:val="055C6BEF"/>
    <w:rsid w:val="0580326D"/>
    <w:rsid w:val="06C47189"/>
    <w:rsid w:val="07942576"/>
    <w:rsid w:val="093C1DE4"/>
    <w:rsid w:val="09992B4F"/>
    <w:rsid w:val="0C3668F4"/>
    <w:rsid w:val="0FA91612"/>
    <w:rsid w:val="10465A07"/>
    <w:rsid w:val="11357601"/>
    <w:rsid w:val="14065285"/>
    <w:rsid w:val="158E6A32"/>
    <w:rsid w:val="1AE16104"/>
    <w:rsid w:val="1B8A054A"/>
    <w:rsid w:val="1BF91A76"/>
    <w:rsid w:val="1E05651A"/>
    <w:rsid w:val="1E34479D"/>
    <w:rsid w:val="1F4C1F27"/>
    <w:rsid w:val="1FB430C5"/>
    <w:rsid w:val="1FDB6D51"/>
    <w:rsid w:val="21627873"/>
    <w:rsid w:val="21ED7384"/>
    <w:rsid w:val="22743D02"/>
    <w:rsid w:val="25DC7BF4"/>
    <w:rsid w:val="2A8E16D9"/>
    <w:rsid w:val="2B1A4D1A"/>
    <w:rsid w:val="2B9176D3"/>
    <w:rsid w:val="2C0B1233"/>
    <w:rsid w:val="2D7D7F0E"/>
    <w:rsid w:val="2E7222C0"/>
    <w:rsid w:val="2F9A0F8F"/>
    <w:rsid w:val="2FCE2CA3"/>
    <w:rsid w:val="300F506A"/>
    <w:rsid w:val="330E1609"/>
    <w:rsid w:val="33CA5530"/>
    <w:rsid w:val="34362BC5"/>
    <w:rsid w:val="35262C3A"/>
    <w:rsid w:val="37515F68"/>
    <w:rsid w:val="387B633B"/>
    <w:rsid w:val="3935770D"/>
    <w:rsid w:val="3AD145DB"/>
    <w:rsid w:val="3B705713"/>
    <w:rsid w:val="3BD553B9"/>
    <w:rsid w:val="3F465470"/>
    <w:rsid w:val="423050D0"/>
    <w:rsid w:val="428B3B8B"/>
    <w:rsid w:val="44354C47"/>
    <w:rsid w:val="449310F5"/>
    <w:rsid w:val="469A5235"/>
    <w:rsid w:val="475950F1"/>
    <w:rsid w:val="49B55F4A"/>
    <w:rsid w:val="49BE748D"/>
    <w:rsid w:val="4A190B67"/>
    <w:rsid w:val="4D137AF0"/>
    <w:rsid w:val="4D312C5B"/>
    <w:rsid w:val="4DDC6134"/>
    <w:rsid w:val="4DEE61F9"/>
    <w:rsid w:val="50906E99"/>
    <w:rsid w:val="54C8216A"/>
    <w:rsid w:val="55F87DC5"/>
    <w:rsid w:val="567F61F6"/>
    <w:rsid w:val="585958BB"/>
    <w:rsid w:val="591A3EAB"/>
    <w:rsid w:val="592D1BF7"/>
    <w:rsid w:val="596C0CB3"/>
    <w:rsid w:val="5A5B1EC4"/>
    <w:rsid w:val="5CB07976"/>
    <w:rsid w:val="5D7874FB"/>
    <w:rsid w:val="5F08322C"/>
    <w:rsid w:val="5F1E7792"/>
    <w:rsid w:val="5F9350D0"/>
    <w:rsid w:val="60260E6D"/>
    <w:rsid w:val="606D5311"/>
    <w:rsid w:val="6319163A"/>
    <w:rsid w:val="631D301E"/>
    <w:rsid w:val="63F401AA"/>
    <w:rsid w:val="654A1205"/>
    <w:rsid w:val="66C1642E"/>
    <w:rsid w:val="66FD119D"/>
    <w:rsid w:val="67044F7F"/>
    <w:rsid w:val="6A070584"/>
    <w:rsid w:val="6AA06A0F"/>
    <w:rsid w:val="6E677BD8"/>
    <w:rsid w:val="6F9A6EEB"/>
    <w:rsid w:val="6FF45107"/>
    <w:rsid w:val="723165E9"/>
    <w:rsid w:val="7275252F"/>
    <w:rsid w:val="72CC236B"/>
    <w:rsid w:val="74884070"/>
    <w:rsid w:val="757D16FB"/>
    <w:rsid w:val="75E90518"/>
    <w:rsid w:val="764D5571"/>
    <w:rsid w:val="765574B6"/>
    <w:rsid w:val="76AF247D"/>
    <w:rsid w:val="780019CE"/>
    <w:rsid w:val="78CB7DC1"/>
    <w:rsid w:val="7AEF12AE"/>
    <w:rsid w:val="7CC3658D"/>
    <w:rsid w:val="7DFA4230"/>
    <w:rsid w:val="7F2C0419"/>
    <w:rsid w:val="7F453289"/>
    <w:rsid w:val="7FA3361E"/>
    <w:rsid w:val="B7718A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579" w:lineRule="exact"/>
    </w:pPr>
    <w:rPr>
      <w:rFonts w:ascii="Times New Roman" w:hAnsi="Times New Roman" w:eastAsia="仿宋_GB2312" w:cs="Times New Roman"/>
      <w:kern w:val="2"/>
      <w:sz w:val="32"/>
      <w:szCs w:val="32"/>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2"/>
    <w:semiHidden/>
    <w:unhideWhenUsed/>
    <w:qFormat/>
    <w:uiPriority w:val="99"/>
    <w:pPr>
      <w:spacing w:line="240" w:lineRule="auto"/>
    </w:pPr>
    <w:rPr>
      <w:sz w:val="18"/>
      <w:szCs w:val="18"/>
    </w:rPr>
  </w:style>
  <w:style w:type="paragraph" w:styleId="3">
    <w:name w:val="footer"/>
    <w:basedOn w:val="1"/>
    <w:link w:val="10"/>
    <w:unhideWhenUsed/>
    <w:qFormat/>
    <w:uiPriority w:val="99"/>
    <w:pPr>
      <w:tabs>
        <w:tab w:val="center" w:pos="4153"/>
        <w:tab w:val="right" w:pos="8306"/>
      </w:tabs>
      <w:snapToGrid w:val="0"/>
      <w:spacing w:line="240" w:lineRule="atLeast"/>
    </w:pPr>
    <w:rPr>
      <w:sz w:val="18"/>
      <w:szCs w:val="18"/>
    </w:rPr>
  </w:style>
  <w:style w:type="paragraph" w:styleId="4">
    <w:name w:val="header"/>
    <w:basedOn w:val="1"/>
    <w:link w:val="9"/>
    <w:unhideWhenUsed/>
    <w:qFormat/>
    <w:uiPriority w:val="99"/>
    <w:pPr>
      <w:pBdr>
        <w:bottom w:val="single" w:color="auto" w:sz="6" w:space="1"/>
      </w:pBdr>
      <w:tabs>
        <w:tab w:val="center" w:pos="4153"/>
        <w:tab w:val="right" w:pos="8306"/>
      </w:tabs>
      <w:snapToGrid w:val="0"/>
      <w:spacing w:line="240" w:lineRule="atLeast"/>
      <w:jc w:val="center"/>
    </w:pPr>
    <w:rPr>
      <w:sz w:val="18"/>
      <w:szCs w:val="18"/>
    </w:rPr>
  </w:style>
  <w:style w:type="paragraph" w:styleId="5">
    <w:name w:val="Normal (Web)"/>
    <w:basedOn w:val="1"/>
    <w:unhideWhenUsed/>
    <w:qFormat/>
    <w:uiPriority w:val="0"/>
    <w:pPr>
      <w:spacing w:beforeAutospacing="1" w:afterAutospacing="1"/>
    </w:pPr>
    <w:rPr>
      <w:kern w:val="0"/>
      <w:sz w:val="24"/>
    </w:rPr>
  </w:style>
  <w:style w:type="character" w:styleId="8">
    <w:name w:val="Strong"/>
    <w:basedOn w:val="7"/>
    <w:qFormat/>
    <w:uiPriority w:val="22"/>
    <w:rPr>
      <w:b/>
    </w:rPr>
  </w:style>
  <w:style w:type="character" w:customStyle="1" w:styleId="9">
    <w:name w:val="页眉 字符"/>
    <w:basedOn w:val="7"/>
    <w:link w:val="4"/>
    <w:qFormat/>
    <w:uiPriority w:val="99"/>
    <w:rPr>
      <w:sz w:val="18"/>
      <w:szCs w:val="18"/>
    </w:rPr>
  </w:style>
  <w:style w:type="character" w:customStyle="1" w:styleId="10">
    <w:name w:val="页脚 字符"/>
    <w:basedOn w:val="7"/>
    <w:link w:val="3"/>
    <w:qFormat/>
    <w:uiPriority w:val="99"/>
    <w:rPr>
      <w:sz w:val="18"/>
      <w:szCs w:val="18"/>
    </w:rPr>
  </w:style>
  <w:style w:type="paragraph" w:customStyle="1" w:styleId="11">
    <w:name w:val="修订1"/>
    <w:hidden/>
    <w:semiHidden/>
    <w:qFormat/>
    <w:uiPriority w:val="99"/>
    <w:rPr>
      <w:rFonts w:ascii="Times New Roman" w:hAnsi="Times New Roman" w:eastAsia="仿宋_GB2312" w:cs="Times New Roman"/>
      <w:kern w:val="2"/>
      <w:sz w:val="32"/>
      <w:szCs w:val="32"/>
      <w:lang w:val="en-US" w:eastAsia="zh-CN" w:bidi="ar-SA"/>
    </w:rPr>
  </w:style>
  <w:style w:type="character" w:customStyle="1" w:styleId="12">
    <w:name w:val="批注框文本 字符"/>
    <w:basedOn w:val="7"/>
    <w:link w:val="2"/>
    <w:semiHidden/>
    <w:qFormat/>
    <w:uiPriority w:val="99"/>
    <w:rPr>
      <w:rFonts w:eastAsia="仿宋_GB2312"/>
      <w:kern w:val="2"/>
      <w:sz w:val="18"/>
      <w:szCs w:val="18"/>
    </w:rPr>
  </w:style>
  <w:style w:type="paragraph" w:customStyle="1" w:styleId="13">
    <w:name w:val="修订2"/>
    <w:hidden/>
    <w:unhideWhenUsed/>
    <w:qFormat/>
    <w:uiPriority w:val="99"/>
    <w:rPr>
      <w:rFonts w:ascii="Times New Roman" w:hAnsi="Times New Roman" w:eastAsia="仿宋_GB2312" w:cs="Times New Roman"/>
      <w:kern w:val="2"/>
      <w:sz w:val="32"/>
      <w:szCs w:val="32"/>
      <w:lang w:val="en-US" w:eastAsia="zh-CN" w:bidi="ar-SA"/>
    </w:rPr>
  </w:style>
  <w:style w:type="paragraph" w:customStyle="1" w:styleId="14">
    <w:name w:val="Revision"/>
    <w:hidden/>
    <w:semiHidden/>
    <w:qFormat/>
    <w:uiPriority w:val="99"/>
    <w:rPr>
      <w:rFonts w:ascii="Times New Roman" w:hAnsi="Times New Roman" w:eastAsia="仿宋_GB2312" w:cs="Times New Roman"/>
      <w:kern w:val="2"/>
      <w:sz w:val="32"/>
      <w:szCs w:val="3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3107</Words>
  <Characters>3161</Characters>
  <Lines>22</Lines>
  <Paragraphs>6</Paragraphs>
  <TotalTime>12</TotalTime>
  <ScaleCrop>false</ScaleCrop>
  <LinksUpToDate>false</LinksUpToDate>
  <CharactersWithSpaces>3162</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2025-06-16T11:20:00Z</dcterms:created>
  <dc:creator>TAO LIU</dc:creator>
  <cp:lastModifiedBy>/</cp:lastModifiedBy>
  <cp:lastPrinted>2025-06-16T04:33:00Z</cp:lastPrinted>
  <dcterms:modified xsi:type="dcterms:W3CDTF">2025-06-17T02:27:49Z</dcterms:modified>
  <cp:revision>33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C9ED43C08B974DBC814ED13A4B6EFE94</vt:lpwstr>
  </property>
  <property fmtid="{D5CDD505-2E9C-101B-9397-08002B2CF9AE}" pid="4" name="KSOTemplateDocerSaveRecord">
    <vt:lpwstr>eyJoZGlkIjoiMWE2ZTJlNTI4YmVkOWM5ZmJlYmVhOTcyNDQ0MGFlZmEiLCJ1c2VySWQiOiIzODgxNzMyNDQifQ==</vt:lpwstr>
  </property>
</Properties>
</file>