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国际一流科研机构建设目标与评估框架比较研究报告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——基于河套深港科技创新合作区的战略视角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摘要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河套深港科技创新合作区（以下简称“河套合作区”）作为粤港澳大湾区唯一以科技创新为主题的特色平台，承载着“一区两园”跨境协同的历史使命。国务院发布的《河套深港科技创新合作区深圳园区发展规划》明确提出，到2035年要成为“世界级的科研枢纽”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。然而，如何将这一宏伟的顶层设计转化为可执行、可考核的微观管理制度，是当前面临的核心挑战。全球科研管理的经验表明，科研机构的成功高度依赖于其**建设目标（Goal Setting）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与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评估框架（Evaluation Framework）**之间的“自洽性”（Self-Consistency）。若简单套用单一的评价体系（如仅看论文发表或仅看短期经济回报）来考核不同类型的科研载体，必将导致资源错配与战略失效。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本报告旨在通过对全球四类典型科研机构模式——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探索型（前沿科学）、赋能型（产业技术）、使命型（国家战略）、生态型（创新枢纽）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—进行详尽的比较研究，深入剖析其内部的治理逻辑、资金分配算法与考核指标体系。结合河套合作区“跨境、跨制度、跨文化”的特殊语境，特别是香港RAE评价体系与内地“破五唯”改革的碰撞与融合，提出构建“河套差异化分类评价体系”（Hetao Differentiated Evaluation Framework, H-DEF）的政策建议。报告认为，河套应摒弃传统的行政化、工分制考核，转向以“国际同行评议”确立学术高度、以“产业贡献工时”确立市场价值、以“跨境要素通量”确立平台效能的三维评价新范式，从而实现从“物理捆绑”到“化学反应”的制度性跨越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第一章 绪论：河套合作区的制度困境与破局逻辑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“一区两园”下的评价难题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河套合作区不仅是地理空间上的深港接壤地，更是两种截然不同的科研管理体制的交汇点。深圳园区遵循内地以项目制为主导、强调行政审计与绩效达标的管理逻辑，近年来虽然大力推行“破四唯”、“破五唯”改革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，但惯性依然存在；香港园区则深受英国学术体制影响，依托大学教育资助委员会（UGC）的“研究评审工作”（RAE），强调学术卓越性与国际影响力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当两地的科研资金、人员、数据在河套交汇时，评价标准的冲突便具体化为管理难题：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资金过河后的考核归属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：根据《河套深港科技创新合作区联合政策包》，深方可向港方团队提供资金支持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。但这笔资金的使用绩效，是按照深圳市财政局的审计标准（发票、固定资产折旧）考核，还是按照香港的科研经费管理习惯（人员费比例高、PI负责制）考核？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成果认定的双重标准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一个在河套工作的香港教授，其成果如果主要体现为协助深圳企业解决了“卡脖子”技术难题（工程化贡献），但在SCI高被引论文上产出较少，如何在香港的RAE体系中获得认可？反之，如果其专注于发表Nature/Science论文，又如何满足深圳园区“建设具有国际竞争力的产业中试转化基地”的战略要求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？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跨境协同的量化困境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：政策明确要求“深港科技创新开放合作取得积极成效”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。然而，“合作”本身是一个过程指标，如何将其量化为考核指标？是看跨境会议的次数、联合发表的论文数，还是看深港两地要素流动的通畅度？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核心命题：目标与评估的“自洽性”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本研究的核心理论假设是：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一个科研机构的绩效，取决于其评估体系是否精准地激励了其核心使命。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管理学与科学社会学中，这被称为“委托-代理”关系中的激励相容。如果委托人（政府/出资方）希望代理人（科研机构）从事高风险的基础研究（建设目标），却制定了基于年度产出数量的短期考核指标（评估框架），代理人必然会倾向于选择短平快、低风险的平庸课题，从而导致机构平庸化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全球范围内，顶尖科研机构之所以成功，并非因为它们采用了某种通用的“先进标准”，而是因为它们设计了一套与其特定使命高度契合的制度工具。例如，德国马普学会（MPG）为了追求“认知的前沿”，容忍了极长的回报周期和极高的失败率；而德国弗劳恩霍夫协会（Fraunhofer）为了追求“工业的竞争力”，设计了严苛的外部收入挂钩机制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对于河套而言，其战略定位具有多重性：既要“打造国际一流科技创新平台”（基础研究属性），又要“建设产业中试转化基地”（应用开发属性），还要“构建国际化的科技创新体制机制”（制度创新属性）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。这意味着河套绝不能采用“一把尺子量到底”的评价模式，而必须构建一个分层、分类、分轨的多元评价矩阵。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第二章 全球科研机构评估模式的四维图谱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为了给河套提供科学参照，我们将全球代表性科研机构划分为四种理想类型（Ideal Types），并对其核心机制进行深度解构。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探索型模式：以卓越为唯一准绳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代表机构：德国马普学会（Max Planck Society, MPG）、日本理化学研究所（RIKEN）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核心逻辑：基于信任的长期资助 + 严苛的国际同行评议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2.1.1 德国马普学会：哈纳克原则的制度化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马普学会是全球基础研究的标杆，其核心理念“哈纳克原则”主张“以人为本”，即挑选最杰出的科学家，给予其最大的自由度和资源，而不是围绕既定的项目指南组织研究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目标设定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：探索未知，挑战科学极限。不预设具体的产出指标，不要求短期的经济转化。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评估框架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：马普学会坚决反对简单的量化评估。虽然其下属的各类研究所会收集文献计量数据（Impact Data），但这些数据仅用于辅助“知情同行评议”（Informed Peer Review），绝不直接决定资源分配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科学咨询委员会（SAB）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：这是马普评估体系的核心。每个研究所都设有一个由国际知名科学家组成的SAB（通常90%以上来自德国境外），每2-3年对研究所进行一次评估，每6年进行一次扩展评估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。SAB的评估报告直接决定了部门的存续。如果评价结果为“平庸”（Average），该部门可能在主任退休后被关闭，资源被重新分配给新的前沿领域。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资金机制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：约80%的预算来自联邦和州政府的稳定拨款（Base Funding）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。这种高比例的稳定支持是科学家敢于从事长周期研究的物质基础。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2.1.2 日本理化学研究所：稳定性与流动性的平衡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RIKEN作为日本最大的综合性研究机构，其评估体系同样依赖于外部专家组成的“理研咨询委员会”（RAC）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。RAC每两年召开一次会议，直接向理事长提供关于研究战略和管理的建议。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评估维度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：RAC的评估不仅关注科学产出，更高度关注“人才系统的改革”。例如，RAC明确评估RIKEN在“招聘全球顶尖研究人员”以及“平衡长期雇员与固定期限雇员”方面的表现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。这对于河套具有极大的参考价值，因为河套同样面临如何吸引国际人才并保持人才队伍活力的问题。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战略转向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：近年来，RAC的评估重点转向了跨学科融合，特别是“AI for Science”战略（TRIP项目）的实施情况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。这表明，评估指标必须随机构的战略转型而动态调整。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赋能型模式：以市场为最终裁判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代表机构：德国弗劳恩霍夫协会（Fraunhofer）、台湾工业技术研究院（ITRI）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核心逻辑：基于绩效的资金配比 + 产业界的直接投票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2.2.1 弗劳恩霍夫协会：著名的“1/3模式”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如果说马普学会是仰望星空，弗劳恩霍夫协会则是脚踏实地。其使命是为企业提供技术解决方案。其评估体系不仅是事后的打分，而是嵌入在资金分配公式中的实时激励。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资金构成与评估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：弗劳恩霍夫的预算由三部分组成：约30%的基础经费（Base Funding），约30%的公共竞争性经费（政府项目），约30%-40%的产业合同收入（Industrial Revenue）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动态分配算法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：最精妙的设计在于，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研究所能获得的“基础经费”额度，与其从企业获得的“产业合同收入”成正比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。如果一个研究所今年从企业赚的钱多，明年政府给它的基础经费就多；反之则减少。这实际上是将评估权交给了市场——企业愿意掏真金白银购买技术，就是对该研究所最高的评价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拒绝“唯论文”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：在该体系下，发表论文不仅不是加分项，反而可能因为泄露商业机密而被视为负面行为。</w:t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2.2.2 台湾工研院（ITRI）：产业孵化与专利运营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ITRI不仅做研发，更做产业的“母体”。其评估指标高度聚焦于技术扩散和新创企业的生成。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核心指标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：ITRI的KPI包括“技术转移收入”（Technology Transfer Income）、“衍生公司数量”（Spin-offs）以及专利的“货币化能力”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产业影响分析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：ITRI引入了数据包络分析（DEA）和VIKOR方法，不仅评估自身的研发效率，还量化评估其对台湾制造业整体产值提升的贡献度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。这种宏观视角的评估，对于肩负大湾区产业升级重任的河套具有极强的借鉴意义。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使命型模式：以任务为最高指令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代表机构：美国能源部国家实验室（DOE Labs）、德国亥姆霍兹联合会（Helmholtz）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核心逻辑：大科学装置运营 + 严格的合同管理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2.3.1 美国DOE实验室：PEMP绩效评价计划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美国国家实验室多采用“政府所有、承包商运营”（GOCO）模式。DOE通过年度《绩效评估与测量计划》（PEMP）来管理承包商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评分卡制度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：PEMP将绩效分为“科技任务”（S&amp;T）和“管理运营”（M&amp;O）两大类。评分采用A+到F的等级制，与承包商能获得的“奖励费”（Award Fee，即利润）直接挂钩。如果得分为B-以下，承包商可能拿不到任何奖金甚至被解约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否定性指标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：在M&amp;O指标中，安全（Safety）和保密（Security）是红线。发生重大安全事故或数据泄露，即使科研成果再好，整体评价也会降级。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显著成果（Notable Outcomes）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：PEMP中会设定具体的年度里程碑事件（例如：在Q3前完成超级计算机的测试）。这是一种典型的任务导向评估。</w:t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2.3.2 德国亥姆霍兹联合会：项目导向资助（PoF）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亥姆霍兹专注于解决气候、能源等宏大挑战。其评估单位不是“研究所”，而是“科研计划”（Program）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双层评估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：第一层是科学评估，回顾过去的学术表现；第二层是战略评估，前瞻性地审视未来的研究计划是否符合国家战略需求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竞争性参与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：各个中心必须竞争参与到特定的“计划”中。如果某中心的科研方向偏离了“能源转型”这一国家使命，它在下一轮PoF资助周期中就会失去经费支持。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 生态型模式：以平台为核心枢纽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代表机构：比利时微电子研究中心（IMEC）、英国弹射极中心（Catapult）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核心逻辑：开放式创新 + 生态杠杆效应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2.4.1 IMEC：开放创新的P&amp;L管理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IMEC是全球半导体产业的“大脑”。它不靠卖产品，而是靠卖“联合研发计划”的入场券。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评估指标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：IMEC的核心KPI是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行业合作伙伴的投入比例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。其经营模式是建立一个极其昂贵的公共研发平台（如先进制程产线），然后邀请英特尔、三星、台积电等巨头共同出资、共享IP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杠杆率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：评估重点在于每一欧元的政府补贴，能撬动多少欧元的企业研发投入。IMEC实现了极高的杠杆率，证明了其作为生态枢纽的价值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2.4.2 英国Catapult：逻辑模型与ESG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英国Catapult中心旨在跨越研发的“死亡之谷”。其评估引入了“逻辑模型”（Logic Model），从投入、活动、产出、结果到长期影响进行全链条跟踪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多元化KPI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：除了商业收入（Commercial Income）和协同研发（CR&amp;D）收入外，最新的评估框架还纳入了ESG（环境、社会和治理）得分，评估其对净零排放和区域包容性增长的贡献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第三章 对标分析：河套合作区的特殊约束与需求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在引入上述国际经验之前，必须清醒地认识到河套合作区所面临的特殊约束条件。简单的“拿来主义”在深港跨境的复杂法律与行政环境下注定水土不服。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深港科研评价体系的“代差”与“错位”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河套面临的最大挑战之一，是深港两地在科研评价文化上的巨大差异。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维度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香港（RAE体系）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深圳/内地（改革中的体系）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河套的冲突点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核心指挥棒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学术卓越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：RAE 2020中，研究产出（论文）占70%，影响力占15%，环境占15%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。虽然RAE 2026计划将影响力权重提至25%，但学术逻辑仍是主导。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国家需求/绩效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：曾长期被SCI主导，现转向“代表作”制度，但行政奖励（如国家奖）、人才“帽子”仍是资源分配的硬通货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港方团队习惯于追求高影响因子论文以应对校内考核；深方则急需可见的产业增量和技术突破。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评价主体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同行评议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：高度依赖国际专家的定性评价，保持较高的独立性。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行政主导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：往往由政府科技部门组织专家库评审，行政意志对指标设定有强话语权。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谁来评价河套的项目？如果是内地专家，可能看不懂港方的自由探索；如果是国际专家，可能不理解深方的产业急迫性。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资金审计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信任制/大包干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：人员费比例高，经费使用灵活。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审计制/严监管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：对设备购置、发票报销有严格规定，人员费受限（尽管已有松动）。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资金“过河”后，如果按照内地审计规则考核港方科学家，极易引发“水土不服”甚至法律风险。</w:t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政策空间的机遇：从“16条”到“联合政策包”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《河套深港科技创新合作区深圳园区发展规划》及相关政策文件为打破上述僵局提供了法律依据：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制度创新的授权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：规划明确支持“建立与香港及国际全面对接的科研管理制度”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。这意味着河套有权在特定区域、特定项目中，暂时悬置内地的部分行政评价规则，试行国际化的SAB制度。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揭榜挂帅机制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：联合政策包中的“团队揭榜”机制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，实际上已经引入了类似美国DARPA或DOE的“任务导向”评价逻辑——不问出身（不看帽子），只问能否解决问题。这为引入“使命型”评估模式打开了缺口。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跨境要素流动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：政策鼓励数据、资金、样本的跨境流动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。因此，评估体系中必须包含对“流动性”的考核，即科研机构是否有效利用了深港两地的互补资源（如香港的算法+深圳的数据）。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第四章 河套方案：构建差异化的分类评价体系 (H-DEF)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基于全球经验与河套实情，本报告建议河套合作区摒弃单一的评价标准，构建**“河套差异化分类评价体系”（Hetao Differentiated Evaluation Framework, H-DEF）**。该体系将入驻河套的科研机构严格划分为三类轨道，每类轨道对应不同的建设目标、资金模式与考核指标。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轨道A：源头创新中心（对应“探索型”模式）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适用对象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：香港高校在深圳设立的研究院、国家重点实验室（河套基地）、致力于基础科学突破的国际研发中心。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建设目标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：成为大湾区原始创新的策源地，产出具有全球影响力的科学发现。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资金模式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：参照马普学会模式，实行**“稳定支持为主，竞争为辅”**。给予5-7年的长周期稳定经费支持，不设年度论文指标。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核心考核工具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国际科学咨询委员会（ISAB）制度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4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组建规则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：必须组建由不少于7名国际顶尖科学家（含香港、海外专家，非利益相关方）组成的ISAB。</w:t>
      </w:r>
    </w:p>
    <w:p w:rsidR="00000000" w:rsidDel="00000000" w:rsidP="00000000" w:rsidRDefault="00000000" w:rsidRPr="00000000" w14:paraId="0000006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评估周期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：每3年进行一次中期评估（诊断性），每6年进行一次综合评估（决定性）。</w:t>
      </w:r>
    </w:p>
    <w:p w:rsidR="00000000" w:rsidDel="00000000" w:rsidP="00000000" w:rsidRDefault="00000000" w:rsidRPr="00000000" w14:paraId="0000006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关键指标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7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科学影响力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（定性）：是否在相关领域处于国际领跑或并跑位置？（禁止使用SCI论文数作为直接依据，采用代表作同行评议）。</w:t>
      </w:r>
    </w:p>
    <w:p w:rsidR="00000000" w:rsidDel="00000000" w:rsidP="00000000" w:rsidRDefault="00000000" w:rsidRPr="00000000" w14:paraId="00000068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人才吸引力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：是否有能力吸引非华裔的国际顶尖博后和青年科学家加入？（这是衡量国际化程度的硬指标）。</w:t>
      </w:r>
    </w:p>
    <w:p w:rsidR="00000000" w:rsidDel="00000000" w:rsidP="00000000" w:rsidRDefault="00000000" w:rsidRPr="00000000" w14:paraId="00000069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学术生态贡献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：是否定期举办高水平国际学术会议，促进了深港学术交流？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轨道B：产业技术研究院（对应“赋能型”模式）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适用对象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：深港联合研发中心、企业牵头设立的新型研发机构、中试转化基地。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建设目标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：解决产业关键共性技术难题，打通从实验室到生产线的“最后一公里”。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资金模式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：参照弗劳恩霍夫模式，实行**“1/3动态配比制”**。</w:t>
      </w:r>
    </w:p>
    <w:p w:rsidR="00000000" w:rsidDel="00000000" w:rsidP="00000000" w:rsidRDefault="00000000" w:rsidRPr="00000000" w14:paraId="0000006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政府基础科研经费（33%）的额度，动态挂钩于其从企业获得的横向合同经费（33%）。即：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赚不到企业的钱，就拿不到政府的钱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核心考核工具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经济贡献与技术转移账户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关键指标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71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行业收入占比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：来自非关联企业的研发合同金额及占比（核心KPI）。</w:t>
      </w:r>
    </w:p>
    <w:p w:rsidR="00000000" w:rsidDel="00000000" w:rsidP="00000000" w:rsidRDefault="00000000" w:rsidRPr="00000000" w14:paraId="00000072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技术转移效能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：专利许可收入、作价入股金额、孵化企业（Spin-off）的估值总额。</w:t>
      </w:r>
    </w:p>
    <w:p w:rsidR="00000000" w:rsidDel="00000000" w:rsidP="00000000" w:rsidRDefault="00000000" w:rsidRPr="00000000" w14:paraId="00000073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人才输送率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：向大湾区企业输送了多少经过工程化训练的工程师（而非发表了多少论文）。</w:t>
      </w:r>
    </w:p>
    <w:p w:rsidR="00000000" w:rsidDel="00000000" w:rsidP="00000000" w:rsidRDefault="00000000" w:rsidRPr="00000000" w14:paraId="00000074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技术成熟度提升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：项目结束时TRL（技术就绪指数）相对于开始时的提升幅度。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轨道C：公共科技平台（对应“生态型”与“使命型”模式）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适用对象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：深港数据交易所、国际临床试验中心、超算中心、大型仪器共享平台。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建设目标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：提供世界一流的科研基础设施服务，降低区域创新的隐性成本。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资金模式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：参照美国DOE实验室与英国Catapult模式，实行**“基本运行费 + 绩效奖励费（Award Fee）”**。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核心考核工具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用户满意度与服务通量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关键指标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7B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设施利用率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：设备/数据的有效使用时长。</w:t>
      </w:r>
    </w:p>
    <w:p w:rsidR="00000000" w:rsidDel="00000000" w:rsidP="00000000" w:rsidRDefault="00000000" w:rsidRPr="00000000" w14:paraId="0000007C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服务广度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：服务了多少家不同的香港和内地机构（考核跨境服务能力）。</w:t>
      </w:r>
    </w:p>
    <w:p w:rsidR="00000000" w:rsidDel="00000000" w:rsidP="00000000" w:rsidRDefault="00000000" w:rsidRPr="00000000" w14:paraId="0000007D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用户满意度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：NPS（净推荐值）调查结果。</w:t>
      </w:r>
    </w:p>
    <w:p w:rsidR="00000000" w:rsidDel="00000000" w:rsidP="00000000" w:rsidRDefault="00000000" w:rsidRPr="00000000" w14:paraId="0000007E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安全与合规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：数据跨境合规性、生物安全零事故（一票否决项）。</w:t>
      </w:r>
    </w:p>
    <w:p w:rsidR="00000000" w:rsidDel="00000000" w:rsidP="00000000" w:rsidRDefault="00000000" w:rsidRPr="00000000" w14:paraId="0000007F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自给率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：设定5-10年内实现运营成本自给自足的目标路径。</w:t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第五章 实施路径与关键制度保障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为了确保H-DEF体系的落地，河套合作区需要在以下三个层面进行制度重构。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治理架构：建立“河套科技评价委员会”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建议在河套管委会之下，设立法定机构**“河套科技评价委员会”**（Hetao Science &amp; Technology Evaluation Committee, H-STEC）。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职能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：独立于行政拨款部门，负责遴选ISAB专家，制定评价标准，发布评价报告。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构成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：引入香港研资局（RGC）的前任委员、国际知名科研机构前高管、大湾区领军企业CTO。行政官员不进入委员会，仅负责程序监督。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评价互认：打通深港评价的“货币兑换”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在河套建立深港评价标准的“汇率机制”：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成果互认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：将在河套轨道B（产业类）机构获得的“技术转移收入”或“重大技术攻关成果”，在申报深圳市人才项目或香港教资会RAE评估时，视同于高水平学术产出，给予等效积分。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职称互通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：对于在河套工作的科研人员，建立“双聘”评价通道。企业侧的“首席工程师”经历应能被香港高校认可用于申请“教授 of Practice”等职位。</w:t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数据驱动的决策支持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借鉴ITRI的经验，建立**“河套产业影响监测中心”**。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不依赖科研人员自填的总结报告，而是利用大数据手段，追踪河套产出的专利被大湾区企业引用的情况、河套孵化企业的供应链上下游数据、以及河套输送人才的薪资增长轨迹。用客观数据绘制河套的“创新影响力地图”。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5.4 容错机制的法治化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针对轨道A（探索型）机构，必须在《深圳经济特区河套深港科技创新合作区深圳园区条例》的立法层面明确**“尽职免责”**条款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只要经ISAB认定科研过程严谨、方向具有前沿价值，即使最终未产生预期的论文或专利，也不应在审计中被认定为“国有资产流失”或“绩效不合格”。这是保障源头创新敢于冒险的法律底线。</w:t>
      </w:r>
    </w:p>
    <w:p w:rsidR="00000000" w:rsidDel="00000000" w:rsidP="00000000" w:rsidRDefault="00000000" w:rsidRPr="00000000" w14:paraId="000000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结语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河套深港科技创新合作区的成败，不在于盖了多少楼，引进了多少院士，而在于是否能在“一国两制”的结合部，生长出一套既符合科学规律又适应产业需求的新型科研生产关系。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通过引入马普学会的卓越导向、弗劳恩霍夫的市场导向、DOE的任务导向以及IMEC的生态导向，并将其内化为河套的A、B、C三类轨道，我们有望构建一个“自洽”的生态系统。在这个系统中，仰望星空的科学家（A轨）、脚踏实地的工程师（B轨）和甘为人梯的服务者（C轨）都能找到属于自己的坐标系和荣誉感。这才是河套成为“世界级科研枢纽”的必由之路。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附表1：全球主要科研评估模式与河套适用性对照表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评估模式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代表机构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核心机制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优点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缺点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河套适用性建议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同行评议制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马普学会 (德)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国际SAB + 长期资助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保护原创，容忍失败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反应慢，易形成学阀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适用于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轨道A（源头创新）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，需确保国际专家比例 &gt;50%。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绩效配比制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弗劳恩霍夫 (德)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基础经费挂钩横向收入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紧贴市场，转化率高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忽视基础研究，短视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适用于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轨道B（产业技术）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，作为核心拨款算法。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合同管理制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DOE实验室 (美)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PEMP计划 + 奖励费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目标明确，执行力强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管理僵化，行政成本高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适用于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轨道C（基础设施）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，特别是跨境数据/临床平台。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生态杠杆制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IMEC (比)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联合研发 P&amp;L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极高杠杆率，生态粘性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门槛极高，需巨额基建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适用于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特定领域的顶级平台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（如半导体、生物医药）。</w:t>
            </w:r>
          </w:p>
        </w:tc>
      </w:tr>
    </w:tbl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附表2：河套差异化分类评价指标体系设计示例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指标维度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轨道A：源头创新中心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轨道B：产业技术研究院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轨道C：公共科技平台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投入产出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顶级期刊/会议代表作 (非计数)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研发投入产出比 (ROI)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设施/数据利用率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经济效益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无强制要求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非关联企业合同收入 (KPI)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服务收入自给率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人才培养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青年科学家独立PI数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输送产业界工程师数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用户培训人次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深港协同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深港联合发表/研讨会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深港联合申请专利/标准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跨境服务对象数量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否定指标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学术不端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虚假合同/关联交易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安全/合规事故</w:t>
            </w:r>
          </w:p>
        </w:tc>
      </w:tr>
    </w:tbl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48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[报告结束]</w:t>
      </w:r>
    </w:p>
    <w:p w:rsidR="00000000" w:rsidDel="00000000" w:rsidP="00000000" w:rsidRDefault="00000000" w:rsidRPr="00000000" w14:paraId="000000C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引用的著作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国务院印发《河套深港科技创新合作区深圳园区发展规划》, 访问时间为 十二月 8, 2025，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http://fgw.sz.gov.cn/gkmlpt/content/10/10809/post_10809551.html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Research Evaluation in China: Policy, Practice and Prospects , 访问时间为 十二月 8, 2025，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https://ora.ox.ac.uk/objects/uuid:27e2f0ab-878f-4fd7-96c4-3d6ec504fa69/files/srb68xd97p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Review on Reform of Research Evaluation in Past Decade, 访问时间为 十二月 8, 2025，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https://bulletinofcas.researchcommons.org/cgi/viewcontent.cgi?article=1989&amp;context=journal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Framework for Research Assessment Exercise (RAE) 2020 - University Grants Committee (UGC), 访问时间为 十二月 8, 2025，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https://www.ugc.edu.hk/doc/eng/ugc/rae/2020/framework.pdf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Unpacking the discourse surrounding the impact agenda in the Hong Kong Research Assessment Exercise 2020 - Oxford Academic, 访问时间为 十二月 8, 2025，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https://academic.oup.com/rev/article/doi/10.1093/reseval/rvae034/7737635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河套深港科技創新合作區聯合政策包 - ITC, 访问时间为 十二月 8, 2025，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https://www.itc.gov.hk/ch/doc/collaboration/joint_policy_ch.pdf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Scientific Advisory Boards - Max-Planck-Gesellschaft, 访问时间为 十二月 8, 2025，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https://www.mpg.de/21051931/scientific-advisory-boards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Research Evaluation - MPI-FKF - Max-Planck-Gesellschaft, 访问时间为 十二月 8, 2025，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https://www.fkf.mpg.de/5311955/Research_Evaluation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Evaluation Procedures of the Max Planck Society - European Science Foundation, 访问时间为 十二月 8, 2025，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http://archives.esf.org/index.php?eID=tx_nawsecuredl&amp;u=0&amp;g=0&amp;t=1762366899&amp;hash=19dd53b23933bf3236143c7d11435bf1ac0dd856&amp;file=/fileadmin/be_user/CEO_Unit/MO_FORA/MOFORUM_Evaluation/Workshop_October2007/Berlin_workshopEvaluation_HeleneSchruff.pdf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Max Planck Society, 访问时间为 十二月 8, 2025，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https://www.mpimp-golm.mpg.de/7417/The_MPG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RIKEN and How is it ?, 访问时间为 十二月 8, 2025，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https://www.nishina.riken.jp/old/riken/whatis.html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Future Vision of RIKEN, 访问时间为 十二月 8, 2025，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https://www.riken.jp/medialibrary/riken/about/reports/evaluation/rac/rac2000-fv-e.pdf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RIKEN's policy for the BOOST program, 访问时间为 十二月 8, 2025，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https://www.riken.jp/en/news_pubs/news/2024/20240617_2/index.html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REPORT OF THE 12TH RIKEN ADVISORY COUNCIL (RAC), 访问时间为 十二月 8, 2025，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https://www.riken.jp/medialibrary/riken/about/reports/evaluation/rac/rac2023-report-e.pdf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Finances - Fraunhofer-Gesellschaft, 访问时间为 十二月 8, 2025，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https://www.fraunhofer.de/en/about-fraunhofer/profile-structure/facts-and-figures/finances.html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Fraunhofer Institutes' funding model - The Manufacturer, 访问时间为 十二月 8, 2025，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https://www.themanufacturer.com/articles/the-fraunhofer-institutes-funding-model/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Fraunhofer model of performance-based basic funding - https: //site.unibo., 访问时间为 十二月 8, 2025，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https://site.unibo.it/fip-we/en/what-is-fip/fraunhofer-model.pdf/@@download/file/Fraunhofer%20model.pdf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ITRI Overview-About Us-Industrial Technology Research Institute, 访问时间为 十二月 8, 2025，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https://www.itri.org.tw/english/ListStyle.aspx?DisplayStyle=20&amp;SiteID=1&amp;MmmID=617731521661672477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Initial Report - United States, Taiwan, and Semiconductors: A Critical Supply Chain Partnership, 访问时间为 十二月 8, 2025，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https://www.us-taiwan.org/wp-content/uploads/2022/06/2022.06.08-Initial-Report-U.S.-Taiwan-and-Semiconductors-A-Critical-Supply-Chain-Partnership.pdf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Industry performance appraisal using improved MCDM for next generation of Taiwan, 访问时间为 十二月 8, 2025，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https://opal.latrobe.edu.au/articles/journal_contribution/Industry_performance_appraisal_using_improved_MCDM_for_next_generation_of_Taiwan/30263578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Industry Performance Appraisal Using Improved MCDM for Next Generation of Taiwan, 访问时间为 十二月 8, 2025，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https://www.mdpi.com/2071-1050/12/13/5290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Final - LANL - NNSA PEMP - Confluence - Department of Energy, 访问时间为 十二月 8, 2025，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https://www.energy.gov/nnsa/articles/fy-2026-performance-evaluation-and-measurement-plan-triad-national-security-llc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Office of Science Lab Appraisal Process | Department of Energy, 访问时间为 十二月 8, 2025，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https://www.energy.gov/science/office-science-lab-appraisal-process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U.S. DEPARTMENT OF ENERGY AND BROOKHAVEN SCIENCE ASSOCIATES, LLC APPENDIX B PERFORMANCE EVALUATION AND MEASUREMENT PLAN FISCAL Y, 访问时间为 十二月 8, 2025，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https://www.bnl.gov/about/contract/section-j/appendices/section-j-appendix-b-fy25-rev.pdf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DOE/NNSA Strategic Performance Evaluation and Measurement Plan (PEMP) - Department of Energy, 访问时间为 十二月 8, 2025，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https://www.energy.gov/sites/default/files/2021-11/FY22%20NTESS%20PEMP%20Final.pdf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Program-oriented funding - Helmholtz - Association of German Research Centres, 访问时间为 十二月 8, 2025，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https://www.helmholtz.de/en/about-us/structure-and-governance/program-oriented-funding/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Program-Oriented Funding (PoF), 访问时间为 十二月 8, 2025，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https://www.helmholtz.de/fileadmin/user_upload/01_forschung/pof/EN_Factsheet_PoF_as_of_180914.pdf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Strategic Evaluation - Helmholtz - Association of German Research Centres, 访问时间为 十二月 8, 2025，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https://www.helmholtz.de/en/about-us/structure-and-governance/program-oriented-funding/strategic-evaluation/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CONSOLIDATED FINANCIAL STATEMENTS - IMEC, 访问时间为 十二月 8, 2025，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https://www.imec-int.com/sites/default/files/inline-files/Consolidated%20Financial%20Statements%202023.pdf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Evaluating the impact of the India-middle east-Europe economic corridor - Asian Journal of Management and Commerce, 访问时间为 十二月 8, 2025，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https://www.allcommercejournal.com/article/464/6-1-40-102.pdf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CATAPULT PROGRAMME: A FRAMEWORK FOR EVALUATING IMPACT - GOV.UK, 访问时间为 十二月 8, 2025，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https://assets.publishing.service.gov.uk/media/5a81e5aee5274a2e87dc00f7/catapult-programme-evaluation-framework.docx.pdf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Annual Engagement and Impact Report - Digital Catapult, 访问时间为 十二月 8, 2025，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https://www.digicatapult.org.uk/wp-content/uploads/2022/11/Digital-Catapult-AR22-FINAL-2.pdf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附件1：河套深港科技创新合作区深圳园区2023年选题揭榜榜单.docx, 访问时间为 十二月 8, 2025，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https://www.sz.gov.cn/attachment/1/1404/1404445/11099946.docx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河套深港科技创新合作区联合政策包 - ITC, 访问时间为 十二月 8, 2025，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https://www.itc.gov.hk/gb/doc/collaboration/joint_policy_gb.pdf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Development Plan for Shenzhen Park of Hetao - Policy Address, 访问时间为 十二月 8, 2025，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https://www.policyaddress.gov.hk/2023/en/p83.html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1.关于《深圳经济特区河套深港科技创新合作区深圳园区条例（征求意见稿）》的说明.docx, 访问时间为 十二月 8, 2025，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https://www.szrd.gov.cn/attachment/0/93/93887/1592520.docx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policyaddress.gov.hk/2023/en/p83.html" TargetMode="External"/><Relationship Id="rId20" Type="http://schemas.openxmlformats.org/officeDocument/2006/relationships/hyperlink" Target="https://www.fraunhofer.de/en/about-fraunhofer/profile-structure/facts-and-figures/finances.html" TargetMode="External"/><Relationship Id="rId41" Type="http://schemas.openxmlformats.org/officeDocument/2006/relationships/hyperlink" Target="https://www.szrd.gov.cn/attachment/0/93/93887/1592520.docx" TargetMode="External"/><Relationship Id="rId22" Type="http://schemas.openxmlformats.org/officeDocument/2006/relationships/hyperlink" Target="https://site.unibo.it/fip-we/en/what-is-fip/fraunhofer-model.pdf/@@download/file/Fraunhofer%20model.pdf" TargetMode="External"/><Relationship Id="rId21" Type="http://schemas.openxmlformats.org/officeDocument/2006/relationships/hyperlink" Target="https://www.themanufacturer.com/articles/the-fraunhofer-institutes-funding-model/" TargetMode="External"/><Relationship Id="rId24" Type="http://schemas.openxmlformats.org/officeDocument/2006/relationships/hyperlink" Target="https://www.us-taiwan.org/wp-content/uploads/2022/06/2022.06.08-Initial-Report-U.S.-Taiwan-and-Semiconductors-A-Critical-Supply-Chain-Partnership.pdf" TargetMode="External"/><Relationship Id="rId23" Type="http://schemas.openxmlformats.org/officeDocument/2006/relationships/hyperlink" Target="https://www.itri.org.tw/english/ListStyle.aspx?DisplayStyle=20&amp;SiteID=1&amp;MmmID=61773152166167247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ugc.edu.hk/doc/eng/ugc/rae/2020/framework.pdf" TargetMode="External"/><Relationship Id="rId26" Type="http://schemas.openxmlformats.org/officeDocument/2006/relationships/hyperlink" Target="https://www.mdpi.com/2071-1050/12/13/5290" TargetMode="External"/><Relationship Id="rId25" Type="http://schemas.openxmlformats.org/officeDocument/2006/relationships/hyperlink" Target="https://opal.latrobe.edu.au/articles/journal_contribution/Industry_performance_appraisal_using_improved_MCDM_for_next_generation_of_Taiwan/30263578" TargetMode="External"/><Relationship Id="rId28" Type="http://schemas.openxmlformats.org/officeDocument/2006/relationships/hyperlink" Target="https://www.energy.gov/science/office-science-lab-appraisal-process" TargetMode="External"/><Relationship Id="rId27" Type="http://schemas.openxmlformats.org/officeDocument/2006/relationships/hyperlink" Target="https://www.energy.gov/nnsa/articles/fy-2026-performance-evaluation-and-measurement-plan-triad-national-security-llc" TargetMode="External"/><Relationship Id="rId5" Type="http://schemas.openxmlformats.org/officeDocument/2006/relationships/styles" Target="styles.xml"/><Relationship Id="rId6" Type="http://schemas.openxmlformats.org/officeDocument/2006/relationships/hyperlink" Target="http://fgw.sz.gov.cn/gkmlpt/content/10/10809/post_10809551.html" TargetMode="External"/><Relationship Id="rId29" Type="http://schemas.openxmlformats.org/officeDocument/2006/relationships/hyperlink" Target="https://www.bnl.gov/about/contract/section-j/appendices/section-j-appendix-b-fy25-rev.pdf" TargetMode="External"/><Relationship Id="rId7" Type="http://schemas.openxmlformats.org/officeDocument/2006/relationships/hyperlink" Target="https://ora.ox.ac.uk/objects/uuid:27e2f0ab-878f-4fd7-96c4-3d6ec504fa69/files/srb68xd97p" TargetMode="External"/><Relationship Id="rId8" Type="http://schemas.openxmlformats.org/officeDocument/2006/relationships/hyperlink" Target="https://bulletinofcas.researchcommons.org/cgi/viewcontent.cgi?article=1989&amp;context=journal" TargetMode="External"/><Relationship Id="rId31" Type="http://schemas.openxmlformats.org/officeDocument/2006/relationships/hyperlink" Target="https://www.helmholtz.de/en/about-us/structure-and-governance/program-oriented-funding/" TargetMode="External"/><Relationship Id="rId30" Type="http://schemas.openxmlformats.org/officeDocument/2006/relationships/hyperlink" Target="https://www.energy.gov/sites/default/files/2021-11/FY22%20NTESS%20PEMP%20Final.pdf" TargetMode="External"/><Relationship Id="rId11" Type="http://schemas.openxmlformats.org/officeDocument/2006/relationships/hyperlink" Target="https://www.itc.gov.hk/ch/doc/collaboration/joint_policy_ch.pdf" TargetMode="External"/><Relationship Id="rId33" Type="http://schemas.openxmlformats.org/officeDocument/2006/relationships/hyperlink" Target="https://www.helmholtz.de/en/about-us/structure-and-governance/program-oriented-funding/strategic-evaluation/" TargetMode="External"/><Relationship Id="rId10" Type="http://schemas.openxmlformats.org/officeDocument/2006/relationships/hyperlink" Target="https://academic.oup.com/rev/article/doi/10.1093/reseval/rvae034/7737635" TargetMode="External"/><Relationship Id="rId32" Type="http://schemas.openxmlformats.org/officeDocument/2006/relationships/hyperlink" Target="https://www.helmholtz.de/fileadmin/user_upload/01_forschung/pof/EN_Factsheet_PoF_as_of_180914.pdf" TargetMode="External"/><Relationship Id="rId13" Type="http://schemas.openxmlformats.org/officeDocument/2006/relationships/hyperlink" Target="https://www.fkf.mpg.de/5311955/Research_Evaluation" TargetMode="External"/><Relationship Id="rId35" Type="http://schemas.openxmlformats.org/officeDocument/2006/relationships/hyperlink" Target="https://www.allcommercejournal.com/article/464/6-1-40-102.pdf" TargetMode="External"/><Relationship Id="rId12" Type="http://schemas.openxmlformats.org/officeDocument/2006/relationships/hyperlink" Target="https://www.mpg.de/21051931/scientific-advisory-boards" TargetMode="External"/><Relationship Id="rId34" Type="http://schemas.openxmlformats.org/officeDocument/2006/relationships/hyperlink" Target="https://www.imec-int.com/sites/default/files/inline-files/Consolidated%20Financial%20Statements%202023.pdf" TargetMode="External"/><Relationship Id="rId15" Type="http://schemas.openxmlformats.org/officeDocument/2006/relationships/hyperlink" Target="https://www.mpimp-golm.mpg.de/7417/The_MPG" TargetMode="External"/><Relationship Id="rId37" Type="http://schemas.openxmlformats.org/officeDocument/2006/relationships/hyperlink" Target="https://www.digicatapult.org.uk/wp-content/uploads/2022/11/Digital-Catapult-AR22-FINAL-2.pdf" TargetMode="External"/><Relationship Id="rId14" Type="http://schemas.openxmlformats.org/officeDocument/2006/relationships/hyperlink" Target="http://archives.esf.org/index.php?eID=tx_nawsecuredl&amp;u=0&amp;g=0&amp;t=1762366899&amp;hash=19dd53b23933bf3236143c7d11435bf1ac0dd856&amp;file=/fileadmin/be_user/CEO_Unit/MO_FORA/MOFORUM_Evaluation/Workshop_October2007/Berlin_workshopEvaluation_HeleneSchruff.pdf" TargetMode="External"/><Relationship Id="rId36" Type="http://schemas.openxmlformats.org/officeDocument/2006/relationships/hyperlink" Target="https://assets.publishing.service.gov.uk/media/5a81e5aee5274a2e87dc00f7/catapult-programme-evaluation-framework.docx.pdf" TargetMode="External"/><Relationship Id="rId17" Type="http://schemas.openxmlformats.org/officeDocument/2006/relationships/hyperlink" Target="https://www.riken.jp/medialibrary/riken/about/reports/evaluation/rac/rac2000-fv-e.pdf" TargetMode="External"/><Relationship Id="rId39" Type="http://schemas.openxmlformats.org/officeDocument/2006/relationships/hyperlink" Target="https://www.itc.gov.hk/gb/doc/collaboration/joint_policy_gb.pdf" TargetMode="External"/><Relationship Id="rId16" Type="http://schemas.openxmlformats.org/officeDocument/2006/relationships/hyperlink" Target="https://www.nishina.riken.jp/old/riken/whatis.html" TargetMode="External"/><Relationship Id="rId38" Type="http://schemas.openxmlformats.org/officeDocument/2006/relationships/hyperlink" Target="https://www.sz.gov.cn/attachment/1/1404/1404445/11099946.docx" TargetMode="External"/><Relationship Id="rId19" Type="http://schemas.openxmlformats.org/officeDocument/2006/relationships/hyperlink" Target="https://www.riken.jp/medialibrary/riken/about/reports/evaluation/rac/rac2023-report-e.pdf" TargetMode="External"/><Relationship Id="rId18" Type="http://schemas.openxmlformats.org/officeDocument/2006/relationships/hyperlink" Target="https://www.riken.jp/en/news_pubs/news/2024/20240617_2/index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