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实验三：A</w:t>
      </w:r>
      <w:r>
        <w:rPr>
          <w:rFonts w:ascii="宋体" w:hAnsi="宋体" w:eastAsia="宋体" w:cs="宋体"/>
          <w:b/>
          <w:bCs/>
          <w:sz w:val="32"/>
          <w:szCs w:val="32"/>
        </w:rPr>
        <w:t>WGN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信道中B</w:t>
      </w:r>
      <w:r>
        <w:rPr>
          <w:rFonts w:ascii="宋体" w:hAnsi="宋体" w:eastAsia="宋体" w:cs="宋体"/>
          <w:b/>
          <w:bCs/>
          <w:sz w:val="32"/>
          <w:szCs w:val="32"/>
        </w:rPr>
        <w:t>PSK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QPSK，QAM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调制解调及误码率性能分析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一、实验目的</w:t>
      </w:r>
    </w:p>
    <w:p>
      <w:pPr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 掌握B</w:t>
      </w:r>
      <w:r>
        <w:rPr>
          <w:rFonts w:ascii="宋体" w:hAnsi="宋体" w:eastAsia="宋体" w:cs="宋体"/>
          <w:szCs w:val="21"/>
        </w:rPr>
        <w:t>PSK</w:t>
      </w:r>
      <w:r>
        <w:rPr>
          <w:rFonts w:hint="eastAsia" w:ascii="宋体" w:hAnsi="宋体" w:eastAsia="宋体" w:cs="宋体"/>
          <w:szCs w:val="21"/>
        </w:rPr>
        <w:t>调制解调原理；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Cs w:val="21"/>
        </w:rPr>
        <w:t>. 掌握</w:t>
      </w:r>
      <w:r>
        <w:rPr>
          <w:rFonts w:hint="eastAsia" w:ascii="宋体" w:hAnsi="宋体" w:eastAsia="宋体" w:cs="宋体"/>
          <w:szCs w:val="21"/>
          <w:lang w:val="en-US" w:eastAsia="zh-CN"/>
        </w:rPr>
        <w:t>Q</w:t>
      </w:r>
      <w:r>
        <w:rPr>
          <w:rFonts w:ascii="宋体" w:hAnsi="宋体" w:eastAsia="宋体" w:cs="宋体"/>
          <w:szCs w:val="21"/>
        </w:rPr>
        <w:t>PSK</w:t>
      </w:r>
      <w:r>
        <w:rPr>
          <w:rFonts w:hint="eastAsia" w:ascii="宋体" w:hAnsi="宋体" w:eastAsia="宋体" w:cs="宋体"/>
          <w:szCs w:val="21"/>
        </w:rPr>
        <w:t>调制解调原理；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Cs w:val="21"/>
        </w:rPr>
        <w:t>. 掌握</w:t>
      </w:r>
      <w:r>
        <w:rPr>
          <w:rFonts w:hint="eastAsia" w:ascii="宋体" w:hAnsi="宋体" w:eastAsia="宋体" w:cs="宋体"/>
          <w:szCs w:val="21"/>
          <w:lang w:val="en-US" w:eastAsia="zh-CN"/>
        </w:rPr>
        <w:t>QAM</w:t>
      </w:r>
      <w:r>
        <w:rPr>
          <w:rFonts w:hint="eastAsia" w:ascii="宋体" w:hAnsi="宋体" w:eastAsia="宋体" w:cs="宋体"/>
          <w:szCs w:val="21"/>
        </w:rPr>
        <w:t>调制解调原理；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Cs w:val="21"/>
        </w:rPr>
        <w:t>. 理解噪声对B</w:t>
      </w:r>
      <w:r>
        <w:rPr>
          <w:rFonts w:ascii="宋体" w:hAnsi="宋体" w:eastAsia="宋体" w:cs="宋体"/>
          <w:szCs w:val="21"/>
        </w:rPr>
        <w:t>PSK</w:t>
      </w:r>
      <w:r>
        <w:rPr>
          <w:rFonts w:hint="eastAsia" w:ascii="宋体" w:hAnsi="宋体" w:eastAsia="宋体" w:cs="宋体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  <w:lang w:val="en-US" w:eastAsia="zh-CN"/>
        </w:rPr>
        <w:t>Q</w:t>
      </w:r>
      <w:r>
        <w:rPr>
          <w:rFonts w:ascii="宋体" w:hAnsi="宋体" w:eastAsia="宋体" w:cs="宋体"/>
          <w:szCs w:val="21"/>
        </w:rPr>
        <w:t>PSK</w:t>
      </w:r>
      <w:r>
        <w:rPr>
          <w:rFonts w:hint="eastAsia" w:ascii="宋体" w:hAnsi="宋体" w:eastAsia="宋体" w:cs="宋体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  <w:lang w:val="en-US" w:eastAsia="zh-CN"/>
        </w:rPr>
        <w:t>QAM</w:t>
      </w:r>
      <w:r>
        <w:rPr>
          <w:rFonts w:hint="eastAsia" w:ascii="宋体" w:hAnsi="宋体" w:eastAsia="宋体" w:cs="宋体"/>
          <w:szCs w:val="21"/>
        </w:rPr>
        <w:t>相干解调性能的影响；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二、实验原理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 二进制数字调制——B</w:t>
      </w:r>
      <w:r>
        <w:rPr>
          <w:rFonts w:ascii="宋体" w:hAnsi="宋体" w:eastAsia="宋体" w:cs="宋体"/>
          <w:szCs w:val="21"/>
        </w:rPr>
        <w:t>PSK</w:t>
      </w:r>
    </w:p>
    <w:p>
      <w:pPr>
        <w:ind w:firstLine="42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将二进制码元“0”对应相位为</w:t>
      </w:r>
      <w:r>
        <w:rPr>
          <w:rFonts w:ascii="宋体" w:hAnsi="宋体" w:eastAsia="宋体" w:cs="宋体"/>
          <w:position w:val="-6"/>
          <w:szCs w:val="21"/>
        </w:rPr>
        <w:object>
          <v:shape id="_x0000_i1025" o:spt="75" type="#_x0000_t75" style="height:10.6pt;width:10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的载波</w:t>
      </w:r>
      <w:r>
        <w:rPr>
          <w:rFonts w:ascii="宋体" w:hAnsi="宋体" w:eastAsia="宋体" w:cs="宋体"/>
          <w:position w:val="-12"/>
          <w:szCs w:val="21"/>
        </w:rPr>
        <w:object>
          <v:shape id="_x0000_i1026" o:spt="75" type="#_x0000_t75" style="height:18pt;width:64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，“1”对应载波相位为0的载波</w:t>
      </w:r>
      <w:r>
        <w:rPr>
          <w:rFonts w:ascii="宋体" w:hAnsi="宋体" w:eastAsia="宋体" w:cs="宋体"/>
          <w:position w:val="-12"/>
          <w:szCs w:val="21"/>
        </w:rPr>
        <w:object>
          <v:shape id="_x0000_i1027" o:spt="75" type="#_x0000_t75" style="height:18pt;width:58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，则B</w:t>
      </w:r>
      <w:r>
        <w:rPr>
          <w:rFonts w:ascii="宋体" w:hAnsi="宋体" w:eastAsia="宋体" w:cs="宋体"/>
          <w:szCs w:val="21"/>
        </w:rPr>
        <w:t>PSK</w:t>
      </w:r>
      <w:r>
        <w:rPr>
          <w:rFonts w:hint="eastAsia" w:ascii="宋体" w:hAnsi="宋体" w:eastAsia="宋体" w:cs="宋体"/>
          <w:szCs w:val="21"/>
        </w:rPr>
        <w:t>信号可以写成如下表达式：</w:t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position w:val="-30"/>
          <w:szCs w:val="21"/>
        </w:rPr>
        <w:object>
          <v:shape id="_x0000_i1028" o:spt="75" type="#_x0000_t75" style="height:36pt;width:175.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其中</w:t>
      </w:r>
      <w:r>
        <w:rPr>
          <w:rFonts w:ascii="宋体" w:hAnsi="宋体" w:eastAsia="宋体" w:cs="宋体"/>
          <w:position w:val="-14"/>
          <w:szCs w:val="21"/>
        </w:rPr>
        <w:object>
          <v:shape id="_x0000_i1029" o:spt="75" type="#_x0000_t75" style="height:19.4pt;width:63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position w:val="-30"/>
          <w:szCs w:val="21"/>
        </w:rPr>
        <w:object>
          <v:shape id="_x0000_i1030" o:spt="75" type="#_x0000_t75" style="height:36pt;width:103.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BPSK</w:t>
      </w:r>
      <w:r>
        <w:rPr>
          <w:rFonts w:hint="eastAsia" w:ascii="宋体" w:hAnsi="宋体" w:eastAsia="宋体" w:cs="宋体"/>
          <w:szCs w:val="21"/>
        </w:rPr>
        <w:t>调制器可以采用相乘器来实现：</w:t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drawing>
          <wp:inline distT="0" distB="0" distL="0" distR="0">
            <wp:extent cx="3128645" cy="1318260"/>
            <wp:effectExtent l="0" t="0" r="0" b="0"/>
            <wp:docPr id="1" name="图片 1" descr="C:\Users\刘洁勋\Desktop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刘洁勋\Desktop\绘图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2267" cy="131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BPSK</w:t>
      </w:r>
      <w:r>
        <w:rPr>
          <w:rFonts w:hint="eastAsia" w:ascii="宋体" w:hAnsi="宋体" w:eastAsia="宋体" w:cs="宋体"/>
          <w:szCs w:val="21"/>
        </w:rPr>
        <w:t>解调必须采用相干解调（本次实验仅考虑使用同频同相载波进行相干解调的情况）：</w:t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drawing>
          <wp:inline distT="0" distB="0" distL="0" distR="0">
            <wp:extent cx="4922520" cy="1252220"/>
            <wp:effectExtent l="0" t="0" r="0" b="5080"/>
            <wp:docPr id="2" name="图片 2" descr="C:\Users\刘洁勋\Desktop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刘洁勋\Desktop\绘图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159" cy="12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Cs w:val="21"/>
        </w:rPr>
        <w:t xml:space="preserve">. </w:t>
      </w:r>
      <w:r>
        <w:rPr>
          <w:rFonts w:hint="eastAsia" w:ascii="宋体" w:hAnsi="宋体" w:eastAsia="宋体" w:cs="宋体"/>
          <w:szCs w:val="21"/>
          <w:lang w:val="en-US" w:eastAsia="zh-CN"/>
        </w:rPr>
        <w:t>多</w:t>
      </w:r>
      <w:r>
        <w:rPr>
          <w:rFonts w:hint="eastAsia" w:ascii="宋体" w:hAnsi="宋体" w:eastAsia="宋体" w:cs="宋体"/>
          <w:szCs w:val="21"/>
        </w:rPr>
        <w:t>进制数字调制——</w:t>
      </w:r>
      <w:r>
        <w:rPr>
          <w:rFonts w:hint="eastAsia" w:ascii="宋体" w:hAnsi="宋体" w:eastAsia="宋体" w:cs="宋体"/>
          <w:szCs w:val="21"/>
          <w:lang w:val="en-US" w:eastAsia="zh-CN"/>
        </w:rPr>
        <w:t>Q</w:t>
      </w:r>
      <w:r>
        <w:rPr>
          <w:rFonts w:ascii="宋体" w:hAnsi="宋体" w:eastAsia="宋体" w:cs="宋体"/>
          <w:szCs w:val="21"/>
        </w:rPr>
        <w:t>PSK</w:t>
      </w:r>
    </w:p>
    <w:p>
      <w:pPr>
        <w:ind w:firstLine="42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正交相移键控</w:t>
      </w:r>
      <w:r>
        <w:rPr>
          <w:rFonts w:hint="eastAsia" w:ascii="宋体" w:hAnsi="宋体" w:eastAsia="宋体" w:cs="宋体"/>
          <w:szCs w:val="21"/>
        </w:rPr>
        <w:t>QPSK</w:t>
      </w:r>
      <w:r>
        <w:rPr>
          <w:rFonts w:hint="eastAsia" w:ascii="宋体" w:hAnsi="宋体" w:eastAsia="宋体" w:cs="宋体"/>
          <w:szCs w:val="21"/>
          <w:lang w:val="en-US" w:eastAsia="zh-CN"/>
        </w:rPr>
        <w:t>又称4PSK，它</w:t>
      </w:r>
      <w:r>
        <w:rPr>
          <w:rFonts w:hint="eastAsia" w:ascii="宋体" w:hAnsi="宋体" w:eastAsia="宋体" w:cs="宋体"/>
          <w:szCs w:val="21"/>
        </w:rPr>
        <w:t>的每一种载波相位代表两个比特</w:t>
      </w:r>
      <w:r>
        <w:rPr>
          <w:rFonts w:hint="eastAsia" w:ascii="宋体" w:hAnsi="宋体" w:eastAsia="宋体" w:cs="宋体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  <w:lang w:val="en-US" w:eastAsia="zh-CN"/>
        </w:rPr>
        <w:t>这</w:t>
      </w:r>
      <w:r>
        <w:rPr>
          <w:rFonts w:hint="eastAsia" w:ascii="宋体" w:hAnsi="宋体" w:eastAsia="宋体" w:cs="宋体"/>
          <w:szCs w:val="21"/>
        </w:rPr>
        <w:t>两个比特的组合称做双比特码元，记为：ab（00、01、10 或 11）</w:t>
      </w:r>
      <w:r>
        <w:rPr>
          <w:rFonts w:hint="eastAsia" w:ascii="宋体" w:hAnsi="宋体" w:eastAsia="宋体" w:cs="宋体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</w:rPr>
        <w:t>将二进制码元“0</w:t>
      </w:r>
      <w:r>
        <w:rPr>
          <w:rFonts w:hint="eastAsia" w:ascii="宋体" w:hAnsi="宋体" w:eastAsia="宋体" w:cs="宋体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Cs w:val="21"/>
        </w:rPr>
        <w:t>”对应相位为</w:t>
      </w:r>
      <w:r>
        <w:rPr>
          <w:rFonts w:hint="eastAsia" w:ascii="宋体" w:hAnsi="宋体" w:eastAsia="宋体" w:cs="宋体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Cs w:val="21"/>
        </w:rPr>
        <w:t>的载波</w:t>
      </w:r>
      <w:r>
        <w:rPr>
          <w:rFonts w:ascii="宋体" w:hAnsi="宋体" w:eastAsia="宋体" w:cs="宋体"/>
          <w:position w:val="-12"/>
          <w:szCs w:val="21"/>
        </w:rPr>
        <w:object>
          <v:shape id="_x0000_i1031" o:spt="75" type="#_x0000_t75" style="height:18pt;width:58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，“</w:t>
      </w:r>
      <w:r>
        <w:rPr>
          <w:rFonts w:hint="eastAsia" w:ascii="宋体" w:hAnsi="宋体" w:eastAsia="宋体" w:cs="宋体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Cs w:val="21"/>
        </w:rPr>
        <w:t>”对应相位为</w:t>
      </w:r>
      <w:r>
        <w:rPr>
          <w:rFonts w:ascii="宋体" w:hAnsi="宋体" w:eastAsia="宋体" w:cs="宋体"/>
          <w:position w:val="-6"/>
          <w:szCs w:val="21"/>
        </w:rPr>
        <w:object>
          <v:shape id="_x0000_i1032" o:spt="75" type="#_x0000_t75" style="height:13.45pt;width:24.0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的载波</w:t>
      </w:r>
      <w:r>
        <w:rPr>
          <w:rFonts w:ascii="宋体" w:hAnsi="宋体" w:eastAsia="宋体" w:cs="宋体"/>
          <w:position w:val="-12"/>
          <w:szCs w:val="21"/>
        </w:rPr>
        <w:object>
          <v:shape id="_x0000_i1033" o:spt="75" type="#_x0000_t75" style="height:18pt;width:9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，“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1”对应相位为</w:t>
      </w:r>
      <w:r>
        <w:rPr>
          <w:rFonts w:ascii="宋体" w:hAnsi="宋体" w:eastAsia="宋体" w:cs="宋体"/>
          <w:position w:val="-6"/>
          <w:szCs w:val="21"/>
        </w:rPr>
        <w:object>
          <v:shape id="_x0000_i1034" o:spt="75" type="#_x0000_t75" style="height:10.65pt;width:10.6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的载波</w:t>
      </w:r>
      <w:r>
        <w:rPr>
          <w:rFonts w:ascii="宋体" w:hAnsi="宋体" w:eastAsia="宋体" w:cs="宋体"/>
          <w:position w:val="-12"/>
          <w:szCs w:val="21"/>
        </w:rPr>
        <w:object>
          <v:shape id="_x0000_i1035" o:spt="75" type="#_x0000_t75" style="height:18pt;width:64.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，“</w:t>
      </w:r>
      <w:r>
        <w:rPr>
          <w:rFonts w:hint="eastAsia" w:ascii="宋体" w:hAnsi="宋体" w:eastAsia="宋体" w:cs="宋体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Cs w:val="21"/>
        </w:rPr>
        <w:t>1”对应相位为</w:t>
      </w:r>
      <w:r>
        <w:rPr>
          <w:rFonts w:ascii="宋体" w:hAnsi="宋体" w:eastAsia="宋体" w:cs="宋体"/>
          <w:position w:val="-6"/>
          <w:szCs w:val="21"/>
        </w:rPr>
        <w:object>
          <v:shape id="_x0000_i1036" o:spt="75" type="#_x0000_t75" style="height:13.45pt;width:30.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的载波</w:t>
      </w:r>
      <w:r>
        <w:rPr>
          <w:rFonts w:ascii="宋体" w:hAnsi="宋体" w:eastAsia="宋体" w:cs="宋体"/>
          <w:position w:val="-12"/>
          <w:szCs w:val="21"/>
        </w:rPr>
        <w:object>
          <v:shape id="_x0000_i1037" o:spt="75" type="#_x0000_t75" style="height:18pt;width:105.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，则</w:t>
      </w:r>
      <w:r>
        <w:rPr>
          <w:rFonts w:hint="eastAsia" w:ascii="宋体" w:hAnsi="宋体" w:eastAsia="宋体" w:cs="宋体"/>
          <w:szCs w:val="21"/>
          <w:lang w:val="en-US" w:eastAsia="zh-CN"/>
        </w:rPr>
        <w:t>Q</w:t>
      </w:r>
      <w:r>
        <w:rPr>
          <w:rFonts w:ascii="宋体" w:hAnsi="宋体" w:eastAsia="宋体" w:cs="宋体"/>
          <w:szCs w:val="21"/>
        </w:rPr>
        <w:t>PSK</w:t>
      </w:r>
      <w:r>
        <w:rPr>
          <w:rFonts w:hint="eastAsia" w:ascii="宋体" w:hAnsi="宋体" w:eastAsia="宋体" w:cs="宋体"/>
          <w:szCs w:val="21"/>
        </w:rPr>
        <w:t>信号可以写成如下表达式：</w:t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position w:val="-30"/>
          <w:szCs w:val="21"/>
        </w:rPr>
        <w:object>
          <v:shape id="_x0000_i1038" o:spt="75" type="#_x0000_t75" style="height:36pt;width:204.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ind w:firstLine="420"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Q</w:t>
      </w:r>
      <w:r>
        <w:rPr>
          <w:rFonts w:ascii="宋体" w:hAnsi="宋体" w:eastAsia="宋体" w:cs="宋体"/>
          <w:szCs w:val="21"/>
        </w:rPr>
        <w:t>PSK</w:t>
      </w:r>
      <w:r>
        <w:rPr>
          <w:rFonts w:hint="eastAsia" w:ascii="宋体" w:hAnsi="宋体" w:eastAsia="宋体" w:cs="宋体"/>
          <w:szCs w:val="21"/>
        </w:rPr>
        <w:t>调制器可以</w:t>
      </w:r>
      <w:r>
        <w:rPr>
          <w:rFonts w:hint="eastAsia" w:ascii="宋体" w:hAnsi="宋体" w:eastAsia="宋体" w:cs="宋体"/>
          <w:szCs w:val="21"/>
          <w:lang w:val="en-US" w:eastAsia="zh-CN"/>
        </w:rPr>
        <w:t>视为两个相互正交的BPSK信号的叠加，通过串并转换后移象</w:t>
      </w:r>
      <w:r>
        <w:rPr>
          <w:rFonts w:hint="eastAsia" w:ascii="宋体" w:hAnsi="宋体" w:eastAsia="宋体" w:cs="宋体"/>
          <w:szCs w:val="21"/>
        </w:rPr>
        <w:t>来实现：</w:t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object>
          <v:shape id="_x0000_i1039" o:spt="75" type="#_x0000_t75" style="height:154.85pt;width:278.4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Visio.Drawing.11" ShapeID="_x0000_i1039" DrawAspect="Content" ObjectID="_1468075739" r:id="rId32">
            <o:LockedField>false</o:LockedField>
          </o:OLEObject>
        </w:object>
      </w:r>
    </w:p>
    <w:p>
      <w:pPr>
        <w:jc w:val="both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Q</w:t>
      </w:r>
      <w:r>
        <w:rPr>
          <w:rFonts w:ascii="宋体" w:hAnsi="宋体" w:eastAsia="宋体" w:cs="宋体"/>
          <w:szCs w:val="21"/>
        </w:rPr>
        <w:t>PSK</w:t>
      </w:r>
      <w:r>
        <w:rPr>
          <w:rFonts w:hint="eastAsia" w:ascii="宋体" w:hAnsi="宋体" w:eastAsia="宋体" w:cs="宋体"/>
          <w:szCs w:val="21"/>
        </w:rPr>
        <w:t>调制器</w:t>
      </w:r>
      <w:r>
        <w:rPr>
          <w:rFonts w:hint="eastAsia" w:ascii="宋体" w:hAnsi="宋体" w:eastAsia="宋体" w:cs="宋体"/>
          <w:szCs w:val="21"/>
          <w:lang w:val="en-US" w:eastAsia="zh-CN"/>
        </w:rPr>
        <w:t>也</w:t>
      </w:r>
      <w:r>
        <w:rPr>
          <w:rFonts w:hint="eastAsia" w:ascii="宋体" w:hAnsi="宋体" w:eastAsia="宋体" w:cs="宋体"/>
          <w:szCs w:val="21"/>
        </w:rPr>
        <w:t>可以</w:t>
      </w:r>
      <w:r>
        <w:rPr>
          <w:rFonts w:hint="eastAsia" w:ascii="宋体" w:hAnsi="宋体" w:eastAsia="宋体" w:cs="宋体"/>
          <w:szCs w:val="21"/>
          <w:lang w:val="en-US" w:eastAsia="zh-CN"/>
        </w:rPr>
        <w:t>通过串并转换后，根据当时的双比特ab，经过选相电路从候选的4个相位中选择相应相位的载波进行输出来实现：</w:t>
      </w:r>
    </w:p>
    <w:p>
      <w:pPr>
        <w:jc w:val="center"/>
        <w:rPr>
          <w:rFonts w:ascii="宋体" w:hAnsi="宋体" w:eastAsia="宋体" w:cs="宋体"/>
          <w:szCs w:val="21"/>
        </w:rPr>
      </w:pPr>
      <w:r>
        <w:drawing>
          <wp:inline distT="0" distB="0" distL="114300" distR="114300">
            <wp:extent cx="4313555" cy="1450340"/>
            <wp:effectExtent l="0" t="0" r="14605" b="12700"/>
            <wp:docPr id="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>Q</w:t>
      </w:r>
      <w:r>
        <w:rPr>
          <w:rFonts w:ascii="宋体" w:hAnsi="宋体" w:eastAsia="宋体" w:cs="宋体"/>
          <w:szCs w:val="21"/>
        </w:rPr>
        <w:t>PSK</w:t>
      </w:r>
      <w:r>
        <w:rPr>
          <w:rFonts w:hint="eastAsia" w:ascii="宋体" w:hAnsi="宋体" w:eastAsia="宋体" w:cs="宋体"/>
          <w:szCs w:val="21"/>
        </w:rPr>
        <w:t>解调</w:t>
      </w:r>
      <w:r>
        <w:rPr>
          <w:rFonts w:hint="eastAsia" w:ascii="宋体" w:hAnsi="宋体" w:eastAsia="宋体" w:cs="宋体"/>
          <w:szCs w:val="21"/>
          <w:lang w:val="en-US" w:eastAsia="zh-CN"/>
        </w:rPr>
        <w:t>可以将信号分为两路后，分别</w:t>
      </w:r>
      <w:r>
        <w:rPr>
          <w:rFonts w:hint="eastAsia" w:ascii="宋体" w:hAnsi="宋体" w:eastAsia="宋体" w:cs="宋体"/>
          <w:szCs w:val="21"/>
        </w:rPr>
        <w:t>采用相干解调（本次实验仅考虑使用同频同相载波进行相干解调的情况）：</w:t>
      </w:r>
    </w:p>
    <w:p>
      <w:pPr>
        <w:jc w:val="center"/>
        <w:rPr>
          <w:rFonts w:ascii="宋体" w:hAnsi="宋体" w:eastAsia="宋体" w:cs="宋体"/>
          <w:szCs w:val="21"/>
        </w:rPr>
      </w:pPr>
      <w:r>
        <w:drawing>
          <wp:inline distT="0" distB="0" distL="114300" distR="114300">
            <wp:extent cx="4570730" cy="2041525"/>
            <wp:effectExtent l="0" t="0" r="1270" b="635"/>
            <wp:docPr id="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Cs w:val="21"/>
        </w:rPr>
        <w:t xml:space="preserve">. </w:t>
      </w:r>
      <w:r>
        <w:rPr>
          <w:rFonts w:hint="eastAsia" w:ascii="宋体" w:hAnsi="宋体" w:eastAsia="宋体" w:cs="宋体"/>
          <w:szCs w:val="21"/>
          <w:lang w:val="en-US" w:eastAsia="zh-CN"/>
        </w:rPr>
        <w:t>多</w:t>
      </w:r>
      <w:r>
        <w:rPr>
          <w:rFonts w:hint="eastAsia" w:ascii="宋体" w:hAnsi="宋体" w:eastAsia="宋体" w:cs="宋体"/>
          <w:szCs w:val="21"/>
        </w:rPr>
        <w:t>进制数字调制——</w:t>
      </w:r>
      <w:r>
        <w:rPr>
          <w:rFonts w:hint="eastAsia" w:ascii="宋体" w:hAnsi="宋体" w:eastAsia="宋体" w:cs="宋体"/>
          <w:szCs w:val="21"/>
          <w:lang w:val="en-US" w:eastAsia="zh-CN"/>
        </w:rPr>
        <w:t>MQAM</w:t>
      </w:r>
    </w:p>
    <w:p>
      <w:pPr>
        <w:ind w:firstLine="420" w:firstLineChars="0"/>
        <w:jc w:val="left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正交振幅调制 QAM是一种振幅和相位联合键控的数字调制技术，表示载波的振幅和相位同时受基带信号控制，而MQAM 中第一个M代表其码元种类数量，相应的一个码元能表示</w:t>
      </w:r>
      <w:r>
        <w:rPr>
          <w:rFonts w:ascii="宋体" w:hAnsi="宋体" w:eastAsia="宋体" w:cs="宋体"/>
          <w:position w:val="-12"/>
          <w:szCs w:val="21"/>
        </w:rPr>
        <w:object>
          <v:shape id="_x0000_i1040" o:spt="75" type="#_x0000_t75" style="height:18pt;width:38.4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  <w:lang w:val="en-US" w:eastAsia="zh-CN"/>
        </w:rPr>
        <w:t>个二进制序列。因此，它的一个码元可表示为：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ascii="宋体" w:hAnsi="宋体" w:eastAsia="宋体" w:cs="宋体"/>
          <w:position w:val="-14"/>
          <w:szCs w:val="21"/>
        </w:rPr>
        <w:object>
          <v:shape id="_x0000_i1041" o:spt="75" type="#_x0000_t75" style="height:30.15pt;width:185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00" w:lineRule="auto"/>
        <w:jc w:val="left"/>
        <w:textAlignment w:val="baseline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其中</w:t>
      </w:r>
      <w:r>
        <w:rPr>
          <w:rFonts w:hint="default" w:ascii="Times New Roman" w:hAnsi="Times New Roman" w:eastAsia="华文中宋" w:cs="mn-cs"/>
          <w:color w:val="000000"/>
          <w:kern w:val="24"/>
          <w:position w:val="-12"/>
          <w:sz w:val="48"/>
          <w:szCs w:val="48"/>
          <w:vertAlign w:val="baseline"/>
        </w:rPr>
        <w:object>
          <v:shape id="_x0000_i1042" o:spt="75" type="#_x0000_t75" style="height:18pt;width:1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、</w:t>
      </w:r>
      <w:r>
        <w:rPr>
          <w:rFonts w:hint="default" w:ascii="Times New Roman" w:hAnsi="Times New Roman" w:eastAsia="华文中宋" w:cs="mn-cs"/>
          <w:color w:val="000000"/>
          <w:kern w:val="24"/>
          <w:position w:val="-12"/>
          <w:sz w:val="48"/>
          <w:szCs w:val="48"/>
          <w:vertAlign w:val="baseline"/>
        </w:rPr>
        <w:object>
          <v:shape id="_x0000_i1043" o:spt="75" type="#_x0000_t75" style="height:18pt;width:13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分别可以取多个离散值。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00" w:lineRule="auto"/>
        <w:ind w:firstLine="420" w:firstLineChars="0"/>
        <w:jc w:val="left"/>
        <w:textAlignment w:val="baseline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以16QAM为例，调制信号输入后经串并转换分为两路，得到的</w:t>
      </w:r>
      <w:r>
        <w:rPr>
          <w:rFonts w:ascii="宋体" w:hAnsi="宋体" w:eastAsia="宋体" w:cs="宋体"/>
          <w:position w:val="-10"/>
          <w:szCs w:val="21"/>
        </w:rPr>
        <w:object>
          <v:shape id="_x0000_i1044" o:spt="75" type="#_x0000_t75" style="height:16pt;width:26.3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和</w:t>
      </w:r>
      <w:r>
        <w:rPr>
          <w:rFonts w:ascii="宋体" w:hAnsi="宋体" w:eastAsia="宋体" w:cs="宋体"/>
          <w:position w:val="-10"/>
          <w:szCs w:val="21"/>
        </w:rPr>
        <w:object>
          <v:shape id="_x0000_i1045" o:spt="75" type="#_x0000_t75" style="height:16pt;width:23.3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分别与相互正交的两路载波相乘，形成两路互为正交的4ASK信号，最后将两路信号相加即可得到16QAM信号，调制电路如图所示：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00" w:lineRule="auto"/>
        <w:ind w:firstLine="420" w:firstLineChars="0"/>
        <w:jc w:val="left"/>
        <w:textAlignment w:val="baseline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2405" cy="2387600"/>
            <wp:effectExtent l="0" t="0" r="635" b="5080"/>
            <wp:docPr id="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16QAM的</w:t>
      </w:r>
      <w:r>
        <w:rPr>
          <w:rFonts w:hint="eastAsia" w:ascii="宋体" w:hAnsi="宋体" w:eastAsia="宋体" w:cs="宋体"/>
          <w:szCs w:val="21"/>
        </w:rPr>
        <w:t>解调</w:t>
      </w:r>
      <w:r>
        <w:rPr>
          <w:rFonts w:hint="eastAsia" w:ascii="宋体" w:hAnsi="宋体" w:eastAsia="宋体" w:cs="宋体"/>
          <w:szCs w:val="21"/>
          <w:lang w:val="en-US" w:eastAsia="zh-CN"/>
        </w:rPr>
        <w:t>可以将信号分为两路后，</w:t>
      </w:r>
      <w:r>
        <w:rPr>
          <w:rFonts w:hint="eastAsia" w:ascii="宋体" w:hAnsi="宋体" w:eastAsia="宋体" w:cs="宋体"/>
          <w:szCs w:val="21"/>
        </w:rPr>
        <w:t>采用</w:t>
      </w:r>
      <w:r>
        <w:rPr>
          <w:rFonts w:hint="eastAsia" w:ascii="宋体" w:hAnsi="宋体" w:eastAsia="宋体" w:cs="宋体"/>
          <w:szCs w:val="21"/>
          <w:lang w:val="en-US" w:eastAsia="zh-CN"/>
        </w:rPr>
        <w:t>正交</w:t>
      </w:r>
      <w:r>
        <w:rPr>
          <w:rFonts w:hint="eastAsia" w:ascii="宋体" w:hAnsi="宋体" w:eastAsia="宋体" w:cs="宋体"/>
          <w:szCs w:val="21"/>
        </w:rPr>
        <w:t>相干解调：</w:t>
      </w:r>
    </w:p>
    <w:p>
      <w:pPr>
        <w:ind w:firstLine="420" w:firstLineChars="0"/>
        <w:rPr>
          <w:rFonts w:hint="eastAsia" w:ascii="宋体" w:hAnsi="宋体" w:eastAsia="宋体" w:cs="宋体"/>
          <w:szCs w:val="21"/>
        </w:rPr>
      </w:pPr>
      <w:r>
        <w:drawing>
          <wp:inline distT="0" distB="0" distL="114300" distR="114300">
            <wp:extent cx="5271135" cy="1547495"/>
            <wp:effectExtent l="0" t="0" r="1905" b="6985"/>
            <wp:docPr id="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三、实验内容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1. 用MATLAB产生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256bit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独立等概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率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的二进制信源，码元持续时间为1s，仿真信号在A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WGN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信道中的B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PSK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调制解调过程，其中载波幅值为1，频率为2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Hz，判决门限为0。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（1）当解调器输入信噪比为0dB时，分别画出调制信号、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BPSK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已调信号、低通滤波器输出信号和解调信号；</w:t>
      </w:r>
    </w:p>
    <w:p>
      <w:pPr>
        <w:widowControl/>
        <w:jc w:val="left"/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（2）画出解调器输入信噪比在-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15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dB到5dB时的接收机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理论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误码率曲线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与实际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误码率曲线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(20次以上平均)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；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. 用MATLAB产生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256bit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独立等概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率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的二进制信源，码元持续时间为1s，仿真信号在A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WGN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信道中的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Q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PSK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调制解调过程，其中载波幅值为1，频率为2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Hz，判决门限为0。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（1）当解调器输入信噪比为0dB时，分别画出调制信号、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Q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PSK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已调信号、低通滤波器输出信号和解调信号；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（2）画出解调器输入信噪比在-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15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dB到5dB时的接收机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理论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误码率曲线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与实际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误码率曲线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(20次以上平均)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；</w:t>
      </w:r>
    </w:p>
    <w:p>
      <w:pPr>
        <w:widowControl/>
        <w:jc w:val="left"/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. 用MATLAB产生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256bit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独立等概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率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的二进制信源，码元持续时间为1s，仿真信号在A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WGN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信道中的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16QAM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调制解调过程，其中载波幅值为1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或2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，频率为2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Hz，判决门限为0。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（1）当解调器输入信噪比为0dB时，分别画出调制信号、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16QAM星座图、16QAM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已调信号、低通滤波器输出信号和解调信号；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（2）画出解调器输入信噪比在-</w:t>
      </w: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t>15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dB到5dB时的接收机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理论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误码率曲线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与实际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误码率曲线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(20次以上平均)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；</w:t>
      </w:r>
    </w:p>
    <w:p>
      <w:pPr>
        <w:widowControl/>
        <w:jc w:val="left"/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bidi="ar"/>
        </w:rPr>
        <w:t>四、实验要求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1. 每次完成实验后按要求完成实验报告，实验报告格式如下：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一、实验目的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二、实验内容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三、实验程序（标明代码注释）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四、实验结果（图形添加标题）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五、实验分析（分析现象及原因）</w:t>
            </w:r>
          </w:p>
        </w:tc>
      </w:tr>
    </w:tbl>
    <w:p>
      <w:pP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2.实验报告满分5分，最终实验成绩根据报告内容进行评定，请注意逾期提交报告或报告格式不符合要求都将影响最终实验成绩。</w:t>
      </w:r>
    </w:p>
    <w:p>
      <w:pP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3.请于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月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26</w:t>
      </w:r>
      <w:bookmarkStart w:id="0" w:name="_GoBack"/>
      <w:bookmarkEnd w:id="0"/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日晚12：00前提交</w:t>
      </w:r>
      <w:r>
        <w:rPr>
          <w:rFonts w:hint="eastAsia"/>
        </w:rPr>
        <w:t>实验报告至邮箱：</w:t>
      </w:r>
      <w:r>
        <w:rPr>
          <w:rFonts w:hint="eastAsia"/>
          <w:lang w:val="en-US" w:eastAsia="zh-CN"/>
        </w:rPr>
        <w:t>jiahaoma</w:t>
      </w:r>
      <w:r>
        <w:t>@buaa.edu.cn</w:t>
      </w:r>
      <w:r>
        <w:rPr>
          <w:rFonts w:hint="eastAsia"/>
        </w:rPr>
        <w:t>，命名格式为：“学号+姓名+第</w:t>
      </w:r>
      <w:r>
        <w:t>X</w:t>
      </w:r>
      <w:r>
        <w:rPr>
          <w:rFonts w:hint="eastAsia"/>
        </w:rPr>
        <w:t>次实验报告”。</w:t>
      </w:r>
    </w:p>
    <w:p>
      <w:pPr>
        <w:jc w:val="left"/>
        <w:rPr>
          <w:rFonts w:ascii="宋体" w:hAnsi="宋体" w:eastAsia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1OTdkZmZkZDkxNmUxNmUyMTc4OGU0ZTg0YzVlMjMifQ=="/>
  </w:docVars>
  <w:rsids>
    <w:rsidRoot w:val="00501F7E"/>
    <w:rsid w:val="00020F60"/>
    <w:rsid w:val="000671F7"/>
    <w:rsid w:val="000972D9"/>
    <w:rsid w:val="00161574"/>
    <w:rsid w:val="001A402C"/>
    <w:rsid w:val="001D69F5"/>
    <w:rsid w:val="001E065B"/>
    <w:rsid w:val="00215219"/>
    <w:rsid w:val="00231953"/>
    <w:rsid w:val="002753C2"/>
    <w:rsid w:val="00283EED"/>
    <w:rsid w:val="002A12EE"/>
    <w:rsid w:val="002A75AA"/>
    <w:rsid w:val="00356C15"/>
    <w:rsid w:val="003C43AF"/>
    <w:rsid w:val="00433A0F"/>
    <w:rsid w:val="004F2F3C"/>
    <w:rsid w:val="00501F7E"/>
    <w:rsid w:val="00617F6A"/>
    <w:rsid w:val="00620E2D"/>
    <w:rsid w:val="00657B71"/>
    <w:rsid w:val="007710B0"/>
    <w:rsid w:val="0097111C"/>
    <w:rsid w:val="00984955"/>
    <w:rsid w:val="00A44084"/>
    <w:rsid w:val="00A66C82"/>
    <w:rsid w:val="00AA1197"/>
    <w:rsid w:val="00BA3342"/>
    <w:rsid w:val="00BB2A43"/>
    <w:rsid w:val="00BB467D"/>
    <w:rsid w:val="00C80AF7"/>
    <w:rsid w:val="00C84D35"/>
    <w:rsid w:val="00CB4E73"/>
    <w:rsid w:val="00D717F6"/>
    <w:rsid w:val="00DA7F92"/>
    <w:rsid w:val="00DF51F8"/>
    <w:rsid w:val="00E601D9"/>
    <w:rsid w:val="00ED7D5D"/>
    <w:rsid w:val="00EF7380"/>
    <w:rsid w:val="00F02711"/>
    <w:rsid w:val="00F24A9C"/>
    <w:rsid w:val="00F24D2B"/>
    <w:rsid w:val="00FF7229"/>
    <w:rsid w:val="026F1A95"/>
    <w:rsid w:val="071A6835"/>
    <w:rsid w:val="1199660C"/>
    <w:rsid w:val="12894169"/>
    <w:rsid w:val="19064D52"/>
    <w:rsid w:val="1BF679C6"/>
    <w:rsid w:val="247E331A"/>
    <w:rsid w:val="26181701"/>
    <w:rsid w:val="286D2291"/>
    <w:rsid w:val="2AD74871"/>
    <w:rsid w:val="2CF83E57"/>
    <w:rsid w:val="32295EC3"/>
    <w:rsid w:val="39DA0DC9"/>
    <w:rsid w:val="40193047"/>
    <w:rsid w:val="42252859"/>
    <w:rsid w:val="45366B7A"/>
    <w:rsid w:val="4B887BF1"/>
    <w:rsid w:val="4DBC10B9"/>
    <w:rsid w:val="53B46B64"/>
    <w:rsid w:val="59E577FF"/>
    <w:rsid w:val="5F9348EF"/>
    <w:rsid w:val="6223441B"/>
    <w:rsid w:val="683F09F1"/>
    <w:rsid w:val="6AAE0164"/>
    <w:rsid w:val="6E503006"/>
    <w:rsid w:val="76682D00"/>
    <w:rsid w:val="7B7D06A6"/>
    <w:rsid w:val="7E26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table" w:customStyle="1" w:styleId="11">
    <w:name w:val="无格式表格 31"/>
    <w:basedOn w:val="6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2">
    <w:name w:val="网格表 5 深色 - 着色 11"/>
    <w:basedOn w:val="6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13">
    <w:name w:val="网格表 6 彩色1"/>
    <w:basedOn w:val="6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">
    <w:name w:val="无格式表格 11"/>
    <w:basedOn w:val="6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5">
    <w:name w:val="网格型浅色1"/>
    <w:basedOn w:val="6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6">
    <w:name w:val="无格式表格 21"/>
    <w:basedOn w:val="6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styleId="17">
    <w:name w:val="Placeholder Text"/>
    <w:basedOn w:val="8"/>
    <w:semiHidden/>
    <w:qFormat/>
    <w:uiPriority w:val="99"/>
    <w:rPr>
      <w:color w:val="808080"/>
    </w:rPr>
  </w:style>
  <w:style w:type="character" w:customStyle="1" w:styleId="18">
    <w:name w:val="页眉 字符"/>
    <w:basedOn w:val="8"/>
    <w:link w:val="4"/>
    <w:uiPriority w:val="0"/>
    <w:rPr>
      <w:kern w:val="2"/>
      <w:sz w:val="18"/>
      <w:szCs w:val="18"/>
    </w:rPr>
  </w:style>
  <w:style w:type="character" w:customStyle="1" w:styleId="19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20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image" Target="media/image1.wmf"/><Relationship Id="rId49" Type="http://schemas.openxmlformats.org/officeDocument/2006/relationships/image" Target="media/image25.png"/><Relationship Id="rId48" Type="http://schemas.openxmlformats.org/officeDocument/2006/relationships/image" Target="media/image24.png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e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898F-0C67-46AE-B301-6AA07378E1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1383</Words>
  <Characters>1619</Characters>
  <Lines>5</Lines>
  <Paragraphs>1</Paragraphs>
  <TotalTime>0</TotalTime>
  <ScaleCrop>false</ScaleCrop>
  <LinksUpToDate>false</LinksUpToDate>
  <CharactersWithSpaces>1637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刘洁勋</dc:creator>
  <cp:lastModifiedBy>风笑</cp:lastModifiedBy>
  <dcterms:modified xsi:type="dcterms:W3CDTF">2023-05-14T08:49:46Z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MTWinEqns">
    <vt:bool>true</vt:bool>
  </property>
  <property fmtid="{D5CDD505-2E9C-101B-9397-08002B2CF9AE}" pid="4" name="ICV">
    <vt:lpwstr>18F65716D2D845C29384C349BF500E6B_12</vt:lpwstr>
  </property>
</Properties>
</file>