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1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full-text OAL application and ledger-relevant case are added; see Response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Methods, literature mapping and the worked case are integrated into Sections 2–7.</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replay scope and matched log comparison are stated explicitly.</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Relevant foundations and official specifications have been added.</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Not supplied</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text has been edited for precision and repeated qualifications removed.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OAL is now applied to 23 full-text mechanism studies through 49 claim records. Section 2 describes the search, selection and coding procedure, Table 2 identifies the sampled mechanisms and their evidence profiles, and Section 5.2 interprets the resulting coverage. Figure 3 has been replaced by a populated object–assurance–lifecycle heatmap. The supplementary CSV provides each study identifier, scoped claim, exact object/layer/stage association, evidence form and supporting passage. The sample is explicitly bounded; 14 additional original mechanism candidates remain outside completed full-text numerical coding, and empty cells are not presented as global research absences.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6.4 replaces the previous freshness/lineage example with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6 compares these outcomes with a mean-score policy and a veto-aware scalar policy using the same features.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The supplied replay executes signature and Merkle checks, arrival-order and duplicate-delivery checks, and all coalition signer subsets. It also computes exact application-message sizes and an explicitly assumed partition/deadline sensitivity. This is reproducible analytical validation of the stated rules; it is not reported as a Fabric deployment, consensus benchmark or integrated sea trial.</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also sharpened the title’s intended blockchain scope in the abstract and Sections 7.1 and 11. The ledger contributes to jointly governed commitments, policy state and reconciliation. A policy-validating witnessed log produces the same decisions under matched rules; the revised text therefore confines ledger value to particular governance conditions and implementation requirements. These changes connect the blockchain-assisted framing to a concrete design without extending the evidence to untested mission performance.</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No separate English-language assessment was supplied.</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The manuscript has been edited for direct, evidence-based phrasing, consistent terminology and concision. Figure wording and bibliography formatting have been corrected.</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general-evaluation ratings were not included in the supplied review, so the example ratings in the template have not been attributed to the reviewer. 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