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9 and Section 4 below for language and figure corrections.</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 includes the complete query list and a disposition for every original citation. The paper states that historical rejection decisions were not fully retained and does not invent a retrospective screening flow. It also discloses the purposive 23-study full-text sample, the coding unit, evidence categories, aggregation rules and absence of independent duplicate coding. This makes the narrative review’s coverage and reproducibility limits explicit.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We replaced the empty Figure 3 with a populated heatmap generated from 49 claim records covering 23 full-text mechanism studies. Rows identify object–assurance pairs and columns identify lifecycle stages. Each cell counts distinct studies supporting that exact association; the script does not construct unsupported combinations from separate labels. The lower panel reports overlapping L0–L5 evidence profiles.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2 identifies the sampled groups, while Section 5.2 explains the concentration in admission integrity and data provenance/governance and the transitions that need complementary evidence. The supplementary mapping gives each study’s claim, object, assurance layer, supported stages, evidence profile, evaluation scope and passage locator. It distinguishes conceptual architecture, recorded-data analysis and implemented prototypes.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numerical map is explicitly a disclosed sample, rather than a map of all 141 original citations. Reviews, standards, operational-control papers and evaluation resources have separate roles; 14 original mechanism candidates remain outside completed full-text coding. Section 10 identifies this coverage and single-extraction limitation. Consequently, zero cells are interpreted as “not observed in the coded sample”, not evidence that the wider field is empty.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7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9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6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9,743 words using the same source-text counting procedure, a reduction of 27.2%. This estimate excludes the bibliography and is used consistently for the two versions. The core OAL vocabulary and appraisal/decision distinction are retained while repeated qualifications and overlapping explanations are consolidated.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All seven publication figures have been redrawn as vector PDFs with larger labels. Figure 2 now uses “Mission-use suitability”; Figure 4 uses “Causal hypotheses”, “Benign degradation” and “Both may coexist”. Figure 3 is the populated coverage heatmap, and Figure 7 is a schematic of complementary evidence forms.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figures use only programmatic vector drawing and text. No photographic, stock or image-generation assets are used, and the generation script is supplied. This gives the revised Figure 7 an explicit, reproducible provenance. The figures and compiled pages have been visually checked for legibility.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Mui et al. is dated 2002, the stray leading “1” is removed from the Kshetri title, and conference booktitles no longer duplicate the style-generated “Proceedings of”. The full Fabric paper title and the ARCADIAN-IoT chapter’s print year are also corrected. Redundant citations removed during shortening and the newly added references are reflected in the revised bibliography; numbering therefore differs from the original review.</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supplied review identifies figure wording and typographical issues in Comment 9; no separate English-language rating was supplied.</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The manuscript has been edited for direct, evidence-based phrasing, consistent terminology and concision. Figure wording and bibliography formatting have been corrected.</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general-evaluation ratings were not included in the supplied review, so the example ratings in the template have not been attributed to the reviewer. 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