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1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full-text OAL application and ledger-relevant case are added; see Response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Methods, literature mapping and the worked case are integrated into Sections 2–7.</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replay scope and matched log comparison are stated explicitly.</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5/5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for this positive assessment.</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Minor edits improve consistency and concision.</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OAL is applied to 39 full-text mechanism studies through 89 scoped claim records. Section 2 distinguishes the 19 domain-focused studies, 20 transferable mechanisms and the 123-reference bibliography. Table 2 identifies the study groups; Figure 3 retains the original framework schematic beside the populated heatmap. Section 5.3 and Table 5 compare what AIS protection, observation corroboration, attestation, trust-aware routing and consensus actually support, and specify the evidence required at the next handover. Section 5.4 and Table 6 report domain stratification, exclusions and coding sensitivity, with all 39 leave-one-out results released. The supplements provide study versions, retrieval links, claim locators, reference roles and coding decisions. Four of the 14 previously uncoded original candidates were recovered; ten remain incompletely accessible. Zero cells describe this sample, while the physical UAV-node experiment is identified as a bounded positive precedent.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6.4 replaces the previous freshness/lineage example with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8 compares these outcomes with a mean-score policy and a veto-aware scalar policy using the same features.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The supplied replay executes signature and Merkle checks, arrival-order and duplicate-delivery checks, and all coalition signer subsets. It also computes exact application-message sizes and an explicitly assumed partition/deadline sensitivity. This is reproducible analytical validation of the stated rules; it is not reported as a Fabric deployment, consensus benchmark or integrated sea trial.</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also sharpened the title’s intended blockchain scope in the abstract and Sections 7.1 and 11. The ledger contributes to jointly governed commitments, policy state and reconciliation. A policy-validating witnessed log produces the same decisions under matched rules; the revised text therefore confines ledger value to particular governance conditions and implementation requirements. These changes connect the blockchain-assisted framing to a concrete design without extending the evidence to untested mission performance.</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made minor edits for consistency and concision while revising the manuscript.</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