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2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2–4 for the evidence map and specified application.</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 8 for shortening and consolidated limitations.</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3, 6 and 7 for stronger comparisons and falsifiable claims.</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See Responses 1, 5 and 9 for methods, positioning and reference corrections.</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The wording and typographical issues in Comment 9 have been corrected.</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We added Section 2.1, “Identification and Selection”, and Section 2.2, “Full-Text Coding and Reproducible Synthesis”. The methods identify OpenAlex, the original retrieval date, the 32 English queries, the 2016 onward date filter, the top-25 retrieval limit per query and DOI/OpenAlex deduplication. The retained candidate file contains 571 records. The text distinguishes this discovery set from the original 141-reference bibliography, and describes citation following, targeted official-source retrieval and the relevance criteria.</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 includes the complete query list and a disposition for every original citation. The paper states that historical rejection decisions were not fully retained and does not invent a retrospective screening flow. It also discloses the purposive 23-study full-text sample, the coding unit, evidence categories, aggregation rules and absence of independent duplicate coding. This makes the narrative review’s coverage and reproducibility limits explicit.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2: The framework is not applied to the reviewed literature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2: Figure 3 now combines the original OAL framework schematic in panel (a) with a populated heatmap in panel (b), generated from 49 claim records covering 23 full-text mechanism studies. Rows identify object–assurance pairs and columns identify lifecycle stages. Each cell counts distinct studies supporting that exact association; the script does not construct unsupported combinations from separate labels. The summary below the heatmap reports overlapping L0–L5 evidence profiles.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2 identifies the sampled groups, while Section 5.2 explains the concentration in admission integrity and data provenance/governance and the transitions that need complementary evidence. The supplementary mapping gives each study’s claim, object, assurance layer, supported stages, evidence profile, evaluation scope and passage locator. It distinguishes conceptual architecture, recorded-data analysis and implemented prototypes.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numerical map is explicitly a disclosed sample, rather than a map of all 141 original citations. Reviews, standards, operational-control papers and evaluation resources have separate roles; 14 original mechanism candidates remain outside completed full-text coding. Section 10 identifies this coverage and single-extraction limitation. Consequently, zero cells are interpreted as “not observed in the coded sample”, not evidence that the wider field is empty.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3: The need for blockchain is insufficiently justified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revised manuscript therefore makes no claim of inherent superiority over that baseline; implementation cost, availability and recovery determine the choice.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7.2 and Table 7 replace the illustrative protocol list with requirements for fault domains, partition behavior, a stated deadline, membership epochs, heterogeneous nodes, power and constrained-link traffic. The analysis considers Raft, classical/SmartBFT, HotStuff, CometBFT, authority-based, DAG-based and IoT-oriented designs, with a full supplementary requirement matrix. CometBFT is described by its round/vote/gossip protocol rather than equated with HotStuff. Narwhal dissemination and Tusk ordering are distinguished.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4: Section 7 names Hyperledger Fabric but specifies none of the following:</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on-chain data model and transaction sizes;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an endorsement policy mapped to the coalition in Section 3.1;</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chaincode logic for any pattern in Table 7;</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what “verify supported proofs” (line 603) means on a constrained vehicle;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peer and orderer placement and behavior when the USV gateway is partitioned.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The supplementary specification gives the encoding and pseudocode. The binary source body is 154 bytes, the signed Ed25519 record 218 bytes, and a signed ten-record batch commitment 220 bytes. The released canonical JSON example is 525 application bytes.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and Table 9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Full Fabric envelopes and measured deployment performance have not been produced in this revision; the paper reports exact application bytes and an implementable design, not an unmeasured transaction-size or throughput claim.</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5: The following bodies of work are directly relevant but absent: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the blockchain oracle problem, which lines 346–347 describe without naming (e.g., Caldarelli, 2020; Al-Breiki et al., 2020);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transparency logs as the natural baseline (RFC 6962/9162; Sigstore, CCS 2022);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delay/disruption-tolerant networking (RFC 9171, RFC 9172);</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assurance-case notations, which Section 9.5 effectively reinvents (GSN, SACM, UL 4600);</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MAPE-K and the JDL fusion model, against which the CTG loop should be positioned;</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maritime autonomy regulation (IMO MSC.1/Circ.1604 and 1638, the ongoing MASS Code, DNV-CG-0264).</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9.3 also adds IMO MSC.1/Circ.1604 and 1638, the MASS Code and DNV-CG-0264. The regulatory context is updated to the revision date: the non-mandatory MASS Code was adopted in May 2026 and took effect on 1 July 2026. Its applicability is tied to the actual vessel and operation rather than transferred wholesale to UAVs or underwater vehicles. These references support positioning and application requirements, not a claim of certification.</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Table 6 includes the requested scalar comparison. A mean of the same five features yields 0.99, 0.89 and 0.79 and accepts all three at a 0.75 threshold. A veto-aware scalar policy agrees with the structured rule on all outcomes. This stronger comparator avoids claiming that a scalar representation necessarily discards the relevant information.</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supplementary script verifies the cryptographic bindings and rule checks, including six arrival orders with duplicate delivery and all 16 signer subsets. Sections 7.3–7.4 connect the replay to the specified ledger application and communication budget. Its scope is an executable synthetic illustration, not a Fabric or field-performance experiment.</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8: The manuscript has been shortened from approximately 13,389 to 9,771 words using the same source-text counting procedure, a reduction of 27.0%. This estimate excludes the bibliography and is used consistently for the two versions. The core OAL vocabulary and appraisal/decision distinction are retained while repeated qualifications and overlapping explanations are consolidated.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Comment 9: There are some minor typos.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typos. Figure 4: “Casual hypotheses”, “degration”, “coexit”. Figure 2: “Suitablity”.</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Legibility. Text in Figures 1, 4, 5, and 6 is too small to read. Please enlarge it and export the figures as vector graphics.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    Figure 7. The photo-realistic illustrations add no information. Please replace them with a schematic and confirm image provenance.</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In Figure 7, the six photo-realistic illustrations have been replaced with schematic representations of the evidence forms. The six equal panels and category colors are retained. The new schematics consist of native Visio shapes and connectors; no photographic, stock or generated-image assets are used in this figure. The editable Visio source and PDF export script are supplied.</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bibliography has been checked and rebuilt. Mui et al. is dated 2002, the stray leading “1” is removed from the Kshetri title, and conference booktitles no longer duplicate the style-generated “Proceedings of”. The full Fabric paper title and the ARCADIAN-IoT chapter’s print year are also corrected. Redundant citations removed during shortening and the newly added references are reflected in the revised bibliography; numbering therefore differs from the original review.</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