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5/5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for this positive assessment.</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Minor edits improve consistency and concision.</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now applied to 23 full-text mechanism studies through 49 claim records. Section 2 describes the search, selection and coding procedure, Table 2 identifies the sampled mechanisms and their evidence profiles, and Section 5.2 interprets the resulting coverage. Figure 3 has been replaced by a populated object–assurance–lifecycle heatmap. The supplementary CSV provides each study identifier, scoped claim, exact object/layer/stage association, evidence form and supporting passage. The sample is explicitly bounded; 14 additional original mechanism candidates remain outside completed full-text numerical coding, and empty cells are not presented as global research absences.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6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made minor edits for consistency and concision while revising the manuscript.</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