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The wording and typographical issues in Comment 9 have been corrected.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Reproducible Synthesis”. The methods identify OpenAlex, the original retrieval date, the 32 English queries, the 2016 onward date filter, the top-25 retrieval limit per query and DOI/OpenAlex deduplication. The retained candidate file contains 571 records. The text distinguishes this discovery set from the original 141-reference bibliography, and describes citation following, targeted official-source retrieval and the relevance criteria.</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 includes the complete query list and a disposition for every original citation. The paper states that historical rejection decisions were not fully retained and does not invent a retrospective screening flow. It also discloses the purposive 23-study full-text sample, the coding unit, evidence categories, aggregation rules and absence of independent duplicate coding. This makes the narrative review’s coverage and reproducibility limits explicit.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We replaced the empty Figure 3 with a populated heatmap generated from 49 claim records covering 23 full-text mechanism studies. Rows identify object–assurance pairs and columns identify lifecycle stages. Each cell counts distinct studies supporting that exact association; the script does not construct unsupported combinations from separate labels. The lower panel reports overlapping L0–L5 evidence profiles.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2 identifies the sampled groups, while Section 5.2 explains the concentration in admission integrity and data provenance/governance and the transitions that need complementary evidence. The supplementary mapping gives each study’s claim, object, assurance layer, supported stages, evidence profile, evaluation scope and passage locator. It distinguishes conceptual architecture, recorded-data analysis and implemented prototypes.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numerical map is explicitly a disclosed sample, rather than a map of all 141 original citations. Reviews, standards, operational-control papers and evaluation resources have separate roles; 14 original mechanism candidates remain outside completed full-text coding. Section 10 identifies this coverage and single-extraction limitation. Consequently, zero cells are interpreted as “not observed in the coded sample”, not evidence that the wider field is empty.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revised manuscript therefore makes no claim of inherent superiority over that baseline; implementation cost, availability and recovery determine the choice.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7 replace the illustrative protocol list with requirements for fault domains, partition behavior, a stated deadline, membership epochs, heterogeneous nodes, power and constrained-link traffic. The analysis considers Raft, classical/SmartBFT, HotStuff, CometBFT, authority-based, DAG-based and IoT-oriented designs, with a full supplementary requirement matrix. CometBFT is described by its round/vote/gossip protocol rather than equated with HotStuff. Narwhal dissemination and Tusk ordering are distinguished.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The supplementary specification gives the encoding and pseudocode. The binary source body is 154 bytes, the signed Ed25519 record 218 bytes, and a signed ten-record batch commitment 220 bytes. The released canonical JSON example is 525 application bytes.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9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Full Fabric envelopes and measured deployment performance have not been produced in this revision; the paper reports exact application bytes and an implementable design, not an unmeasured transaction-size or throughput claim.</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adds IMO MSC.1/Circ.1604 and 1638, the MASS Code and DNV-CG-0264. The regulatory context is updated to the revision date: the non-mandatory MASS Code was adopted in May 2026 and took effect on 1 July 2026. Its applicability is tied to the actual vessel and operation rather than transferred wholesale to UAVs or underwater vehicles. These references support positioning and application requirements, not a claim of certification.</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6 includes the requested scalar comparison. A mean of the same five features yields 0.99, 0.89 and 0.79 and accepts all three at a 0.75 threshold. A veto-aware scalar policy agrees with the structured rule on all outcomes. This stronger comparator avoids claiming that a scalar representation necessarily discards the relevant information.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supplementary script verifies the cryptographic bindings and rule checks, including six arrival orders with duplicate delivery and all 16 signer subsets. Sections 7.3–7.4 connect the replay to the specified ledger application and communication budget. Its scope is an executable synthetic illustration, not a Fabric or field-performance experiment.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9,743 words using the same source-text counting procedure, a reduction of 27.2%. This estimate excludes the bibliography and is used consistently for the two versions. The core OAL vocabulary and appraisal/decision distinction are retained while repeated qualifications and overlapping explanations are consolidated.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All seven publication figures have been redrawn as vector PDFs with larger labels. Figure 2 now uses “Mission-use suitability”; Figure 4 uses “Causal hypotheses”, “Benign degradation” and “Both may coexist”. Figure 3 is the populated coverage heatmap, and Figure 7 is a schematic of complementary evidence forms.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figures use only programmatic vector drawing and text. No photographic, stock or image-generation assets are used, and the generation script is supplied. This gives the revised Figure 7 an explicit, reproducible provenance. The figures and compiled pages have been visually checked for legibility.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has been checked and rebuilt. Mui et al. is dated 2002, the stray leading “1” is removed from the Kshetri title, and conference booktitles no longer duplicate the style-generated “Proceedings of”. The full Fabric paper title and the ARCADIAN-IoT chapter’s print year are also corrected. Redundant citations removed during shortening and the newly added references are reflected in the revised bibliography; numbering therefore differs from the original review.</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