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pStyle w:val="Title"/>
              <w:keepNext w:val="1"/>
              <w:keepLines/>
              <w:widowControl w:val="1"/>
              <w:snapToGrid w:val="0"/>
              <w:spacing w:before="0" w:after="60" w:line="260" w:lineRule="auto"/>
              <w:rPr>
                <w:rFonts w:ascii="Palatino Linotype" w:hAnsi="Palatino Linotype"/>
                <w:i/>
                <w:iCs/>
                <w:color w:val="FF0000"/>
              </w:rPr>
            </w:pPr>
            <w:r>
              <w:rPr>
                <w:rFonts w:ascii="Palatino Linotype" w:hAnsi="Palatino Linotype"/>
                <w:color w:val="000000"/>
              </w:rPr>
              <w:t xml:space="preserve">Response to Reviewer 2 Comments</w:t>
            </w:r>
          </w:p>
          <w:p>
            <w:pPr>
              <w:pStyle w:val="Title"/>
              <w:keepNext/>
              <w:keepLines/>
              <w:widowControl w:val="1"/>
              <w:wordWrap w:val="0"/>
              <w:snapToGrid w:val="0"/>
              <w:spacing w:before="0" w:after="100" w:line="500" w:lineRule="exact"/>
              <w:rPr>
                <w:rFonts w:ascii="Palatino Linotype" w:hAnsi="Palatino Linotype"/>
                <w:i/>
                <w:iCs/>
                <w:color w:val="FF0000"/>
              </w:rPr>
            </w:pPr>
            <w:r>
              <w:rPr>
                <w:rFonts w:ascii="Palatino Linotype" w:hAnsi="Palatino Linotype" w:eastAsia="SimSun" w:cs="Palatino Linotype"/>
                <w:lang w:val="en-US" w:eastAsia="zh-CN"/>
                <w:sz w:val="40"/>
                <w:szCs w:val="40"/>
                <w:color w:val="000000"/>
              </w:rPr>
              <w:t xml:space="preserve">对审稿人 2 意见的回复</w:t>
            </w:r>
          </w:p>
        </w:tc>
      </w:tr>
      <w:tr w:rsidR="00045F44" w:rsidRPr="00033C8B" w14:paraId="2126679E"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1 Summary</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1 总结</w:t>
            </w:r>
          </w:p>
        </w:tc>
      </w:tr>
      <w:tr w:rsidR="006418A0" w:rsidRPr="00033C8B" w14:paraId="18CB770F"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Thank you for reviewing the manuscript. We have applied OAL to the reviewed studies, added a coalition mission case and a concrete ledger application design, and strengthened the comparison with witnessed logs. We have also shortened the text and revised the figures and references. All locations below refer to the revised manuscript.</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感谢您审阅稿件。我们已将 OAL 应用于所综述的研究，新增联盟任务案例及具体的账本应用设计，并加强与见证日志的比较。同时，我们压缩了正文，修改了图件和参考文献。下文所列位置均对应修改稿。</w:t>
            </w:r>
          </w:p>
        </w:tc>
      </w:tr>
      <w:tr w:rsidR="008F6E5E" w:rsidRPr="00033C8B" w14:paraId="6381B93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2 Point by point response</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2 逐条回复</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1：论文没有说明这 141 条参考文献是如何识别或筛选的，包括使用的数据库、检索式和纳入标准。请增加一个简短的方法小节，使读者能够判断文献综合的覆盖范围。</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1: Sections 2.1–2.2 now describe the search sources and dates, queries, screening criteria, deduplication, and full-text coding procedure. They distinguish the 39-study analytical sample from the 123-reference bibliography and explain the roles of citation following and targeted retrieval. The purposive selection and single-extraction limits are stated in Sections 2 and 10.</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1：第 2.1—2.2 节现已说明检索来源与日期、检索式、筛选标准、去重方式及全文编码流程。文中区分了包含 39 篇研究的分析样本与包含 123 条文献的参考文献表，并说明引文追踪和定向检索的作用。目的性选样和单次抽取的局限在第 2、10 节中说明。</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2: The framework is not applied to the reviewed literature</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2：框架没有用于所综述的文献。</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这是文章的主要不足。OAL 被描述为定位机制和识别未受保护的转换环节的工具，但图 3 是空白网格，表 2 也只列出代表性来源。请将所综述的原始研究映射到 OAL 单元格和生命周期阶段，并标明相应的证据级别（L0—L5）。可以用覆盖热图替换图 3，以显示该领域哪些位置研究密集、哪些位置为空白，以及哪些位置缺少跨域证据。如果没有这样的分析，OAL 的实用性就只是作者的断言。</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2: OAL is now applied to 39 full-text studies through 89 claim records. Figure 3 adds a coverage heatmap and L0–L5 evidence summary, and Table 2 identifies the study groups and sources. Sections 5.3–5.4 and Tables 5–6 compare mechanisms and report sensitivity to study selection and coding. Zero cells indicate no coded claim in this sample.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2：OAL 现已应用于 39 篇全文研究中的 89 条主张记录。图 3 新增覆盖热图和 L0—L5 证据汇总，表 2 列明研究分组及来源。第 5.3—5.4 节和表 5—6 比较不同机制，并报告研究选择和编码的敏感性分析。零值单元格表示该样本中没有相应的编码主张。</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3: The need for blockchain is insufficiently justified</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3：对区块链必要性的论证不足。</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论文反复承认，见证签名日志或副本数据库可能已足够满足需求（第 7.1、9.7、11 节），但从未给出一个具体任务场景，证明许可账本优于独立见证的透明日志。请构建这样的场景，说明参与方、故障模型及必须防止哪些单方面变更；或者明确说明，账本的价值仅限于特定治理条件。</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第 7.1 节还应讨论账本采用决策框架（Wüst 和 Gervais，CVCBT 2018；Locher 等，IEEE Blockchain 2018）。TradeLens 的停运（Maersk/IBM，2022）是一个与本文直接相关的海事案例，说明许可平台会因治理原因而失败，也支持第 9.3 节中的论点。</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共识选型同样只作示例性处理：文章提到了 Fabric 中的 Raft 和 BFT 排序，并引用了 3 篇一般性综述 [87, 88, 107]。选型应当建立在系统性的、由需求驱动的评估之上（例如 Švarcmajer 等，BDCC 2026）。首先，应明确推导任务需求：故障模型、分区容忍能力、最终确定延迟、成员动态变化、节点异构性、能量预算，以及受限链路上的消息复杂度。其次，应针对这些需求评估有代表性的机制类别，不仅包括崩溃容错和经典 BFT 排序，还应包括流水线式 BFT（例如 HotStuff、CometBFT）、基于权威的协议、基于 DAG 的协议，以及面向物联网的轻量级协议。最终应为每个任务场景提供从需求到候选机制的可追溯映射，使读者理解某一机制为何适用，而不仅仅知道它的存在。</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3: Section 7.1 now defines the coalition, the unilateral changes to prevent, and the governance conditions for ledger adoption. It includes the requested decision frameworks and a witnessed-log baseline with matched rules. Sections 7.1 and 9.1 discuss TradeLens. Section 7.2 and Table 9 compare seven consensus families against mission requirements and map suitable options to the mission scenarios. The comparison supports a conditional choice based on governance and implementation cost.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3：第 7.1 节现已明确联盟组成、需要防止的单方面变更，以及采用账本的治理条件，并纳入所建议的决策框架和规则匹配的见证日志基线。第 7.1、9.1 节讨论 TradeLens。第 7.2 节和表 9 对照任务需求比较七类共识机制，并为不同任务场景匹配适用方案。比较支持依据治理条件和实现成本作出选择。</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4: Section 7 names Hyperledger Fabric but specifies none of the following:</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4：第 7 节提到了 Hyperledger Fabric，但没有明确说明以下任何一项：</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the on-chain data model and transaction sizes;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链上数据模型及交易大小；</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an endorsement policy mapped to the coalition in Section 3.1;</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与第 3.1 节联盟相对应的背书策略；</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chaincode logic for any pattern in Table 7;</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表 7 中任何一种模式的链码逻辑；</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what “verify supported proofs” (line 603) means on a constrained vehicle;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在资源受限载具上，“验证所支持的证明”（第 603 行）具体意味着什么；</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peer and orderer placement and behavior when the USV gateway is partitioned.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对等节点和排序节点的部署位置，以及 USV 网关发生网络分区时的行为。</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还需要给出声学链路的通信预算，其速率为每秒数百比特至数千比特。仅签名方案的选择就会产生影响：Ed25519 签名为 64 B，而 ML-DSA-44 签名约为 2.4 KB。即使只完整规定一种模式，也能显著增强论文。</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4: Sections 7.3–7.4 now specify a coalition provenance-and-revocation design, covering the data model, endorsement policy, chaincode operations, constrained-vehicle verification, and node placement during partitions. Table 11 provides application payload sizes and acoustic-link budgets for Ed25519 and ML-DSA-44. These are design specifications and payload calculations; full Fabric transaction sizes and deployment performance remain to be measured.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4：第 7.3—7.4 节现已明确一种联盟溯源与撤销设计，涵盖数据模型、背书策略、链码操作、受限载具的验证步骤，以及分区时的节点部署。表 11 给出采用 Ed25519 和 ML-DSA-44 时的应用载荷大小与声学链路预算。这些内容属于设计规范和载荷计算；完整的 Fabric 交易大小与部署性能仍有待测量。</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5: The following bodies of work are directly relevant but absent:</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5：以下研究领域与本文直接相关，但目前缺失：</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the blockchain oracle problem, which lines 346–347 describe without naming (e.g., Caldarelli, 2020; Al-Breiki et al., 2020);</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区块链预言机问题，第 346—347 行描述了这一问题，却没有明确命名（例如 Caldarelli，2020；Al-Breiki 等，2020）；</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transparency logs as the natural baseline (RFC 6962/9162; Sigstore, CCS 2022);</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作为自然比较基线的透明日志（RFC 6962/9162；Sigstore，CCS 2022）；</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delay/disruption-tolerant networking (RFC 9171, RFC 9172);</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时延／中断容忍网络（RFC 9171、RFC 9172）；</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assurance-case notations, which Section 9.5 effectively reinvents (GSN, SACM, UL 4600);</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保障论证表示法，第 9.5 节实际上重新提出了已有内容（GSN、SACM、UL 4600）；</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MAPE-K and the JDL fusion model, against which the CTG loop should be positioned;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MAPE-K 和 JDL 融合模型，CTG 循环应对照它们明确自身定位；</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maritime autonomy regulation (IMO MSC.1/Circ.1604 and 1638, the ongoing MASS Code, DNV-CG-0264).</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海事自主航行法规与规范（IMO MSC.1/Circ.1604 和 1638、正在制定中的 MASS Code、DNV-CG-0264）。</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5: We added the requested literature on oracles and transparency logs (Introduction and Section 4.3), disruption-tolerant networking (Section 3.1), MAPE-K and JDL (Section 6.3), and assurance cases and maritime autonomy regulation (Section 9.3). The revised discussion explains how these established approaches relate to OAL and the CTG loop.</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5：我们已补充所建议的预言机与透明日志文献（引言及第 4.3 节）、中断容忍网络文献（第 3.1 节）、MAPE-K 和 JDL 文献（第 6.3 节），以及保障论证和海事自主航行规范文献（第 9.3 节）。修改后的讨论说明这些已有方法与 OAL 及 CTG 循环的关系。</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6：第 6.4 节的事件追踪归根结底只是新鲜度和谱系检查，即使不使用 OAL，其结果也显而易见，账本在其中没有发挥作用。请使用一个能够实际涉及区块链相关机制的案例，例如分区与协调恢复，或第 7.4 节中的撤销时机案例。该案例还应展示单一评分基线会得出什么结论。</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6: Section 6.4 now uses a partition, key-revocation and reconciliation case that distinguishes local authorization from later audit decisions. Table 8 compares the structured rule with a mean-score baseline and a scalar policy using the same veto rules; the latter gives the same outcomes. Sections 7.3–7.4 connect the case to the ledger design and synthetic replay.</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6：第 6.4 节现已采用分区、密钥撤销与协调恢复案例，区分本地授权和后续审计判定。表 8 将结构化规则与均值评分基线及采用相同否决规则的标量策略比较，后者得到相同结果。第 7.3—7.4 节将该案例与账本设计及合成回放联系起来。</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7：若干命题主要因其构造方式而成立。P5 可以直接由自身的故障模型推出，而 P1 使用的比较基线丢弃了信息。请重新表述这些命题，使其在不成立时也能产生有意义的信息。例如，P5 可以预测在哪些分区时长或验证者数量条件下，账本优于见证透明日志。</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7: Section 9.2 now gives explicit null or adverse outcomes for the propositions. P1 uses a scalar baseline with the same evidence and decision rules, while P5 compares the ledger and witnessed log under matched governance and workload conditions. Section 7.4 adds a partition and quorum sensitivity analysis using stated delay assumptions, including conditions that favor the log.</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7：第 9.2 节现已为各命题明确无改善或反向结果。P1 使用具有相同证据和决策规则的标量基线，P5 则在治理条件和工作负载匹配时比较账本与见证日志。第 7.4 节基于明确的时延假设，增加分区与法定人数的敏感性分析，其中包括更有利于日志的条件。</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8：限定说明反复出现，已经掩盖了贡献。例如，校准要求出现在第 201—204 行（两次）、第 577—581 行和第 1110—1112 行。我建议将论文缩短约 25—30%，并将局限性集中到第 10 节，同时相应修改该节标题。</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8: The manuscript has been shortened by approximately 28.5%, from 13,389 to 9,570 words using the same counting method, excluding references. Repeated explanations and qualifications have been consolidated, the duplicate calibration statement removed, and Section 10 retitled “Limitations”.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8：按同一计词方法且不计参考文献，论文由约 13,389 词缩短至 9,570 词，减少约 28.5%。重复的解释和限定说明已合并，重复的校准说明已删除，第 10 节已更名为“局限性”（Limitations）。</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9: There are some minor typos.</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9：存在一些小的拼写错误。</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Figure typos. Figure 4: “Casual hypotheses”, “degration”, “coexit”. Figure 2: “Suitablity”.</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图中的拼写错误。图 4：“Casual hypotheses”“degration”“coexit”。图 2：“Suitablity”。</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Legibility. Text in Figures 1, 4, 5, and 6 is too small to read. Please enlarge it and export the figures as vector graphics.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可读性。图 1、4、5 和 6 中的文字太小，难以阅读。请放大文字，并将图导出为矢量图形。</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Figure 7. The photo-realistic illustrations add no information. Please replace them with a schematic and confirm image provenance.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图 7。照片般逼真的插图没有增加信息。请替换为示意图，并确认图像来源。</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参考文献。需要仔细检查文献表，例如，第 52 条参考文献的年份应为 2002 年，第 134 条多出了一个“1”，若干条目包含“Proceedings of the Proceedings”的重复表述。</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9: We corrected the figure typos and enlarged labels and spacing in Figures 1, 4, 5 and 6, retaining vector text and diagram geometry in the PDF exports. Figure 7 now uses native Visio text-and-box diagrams, with no photographic, stock or generated-image assets. The cited reference errors, including the Mui year, stray “1” and duplicated “Proceedings of”, have been corrected.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9：我们已修正图中的拼写错误，放大图 1、4、5、6 的标签并调整间距，导出的 PDF 保留矢量文字和图形。图 7 已改用原生 Visio 文字框图，不含照片、图库或生成式图像素材。所指出的参考文献错误，包括 Mui 文献年份、多余的“1”和重复的“Proceedings of”，均已修正。</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