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supplements provide the original query list, all original-citation dispositions and an expansion register. Targeted checks through 25 October 2026 revisited the 14 previously uncoded original candidates, recovered four, and added eight domain studies plus four already cited consensus comparators. Ten original candidates remained unavailable or only partly inspectable. Section 2 separates these access outcomes from scientific eligibility and distinguishes the final 39-study analytical sample from the 123-reference bibliography. Historical rejection decisions and search rankings were not fully retained; no retrospective systematic-screening flow is reconstructed. Coding remains a single extraction process with source checks and explicit sensitivity analyses.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Figure 3 combines the original OAL schematic in panel (a) with a heatmap in panel (b), computed from 89 scoped claims across 39 full-text mechanism studies. Nineteen studies target UAV, maritime AIS or underwater applications; twenty supply transferable mechanisms. Each cell counts distinct studies for an exact object–assurance–stage association, and the L0–L5 summary permits overlapping forms. The study register distinguishes intended domain from actual evaluation setting. All 96 native Visio cell values are checked against the released CSV.</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5.3 and Table 5 now make OAL’s analytical effect concrete. They distinguish original AIS-message protection from receiver-ledger provenance, physical corroboration from authentication, measured endpoint integrity from task suitability, and replicated-log recovery from dependent-product invalidation. Positive continuity mechanisms are included: UAV trust updates and routing adaptation already connect changed behavior to continued cooperation. One study reports an eight-UAV-node physical experiment, coded L3/L4 for cooperation/path adaptation, with its separate container consensus benchmark kept at L3. Desktop underwater cryptography, terrestrial-data proxy learning and PBFT’s unimplemented view-change path retain narrower evidence scopes. These comparisons identify specific composition requirements without treating every claim in a paper as validated by one prototype.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5.4 and Table 6 report inclusion and coding sensitivity. Removing the four generic consensus papers leaves 35 studies, all 25 occupied cells and the same leading cell (D/G/F, 12 studies). The direct-domain stratum instead leads with E/G/A (six studies), making selection effects visible. Excluding conceptual-only work or the proxy-data study, varying entity/platform identity coding, and all 39 leave-one-out maps are reproducible. A conservative L3-only reading of the bounded physical experiment removes L4 without changing the heatmap. The 71 zero cells are not interpreted as 71 research gaps. The reference-role register distinguishes 39 coded mechanisms from 84 contextual/evaluation references, and Section 10 states availability and single-extraction limits.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9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11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8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9,936 words using the same source-text counting procedure, a reduction of 25.8%. The estimate excludes the bibliography. The revision combines this reduction with the expanded full-text mapping, comparative synthesis and sensitivity analysis by consolidating repeated explanations and qualifications. The core OAL vocabulary and appraisal/decision distinction are retained.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 Figure 5 is placed with the CTG discussion on a text page.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In Figure 7, the six photo-realistic illustrations have been replaced with text-and-box diagrams showing the inputs, reasoning or evaluation, and outputs associated with each evidence form. The six equal panels and category colors are retained. All diagram elements are native Visio text boxes and connecting arrows; no photographic, stock or generated-image assets are used. The editable Visio source, diagram-building script and PDF export script are supplied.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with 123 cited entries. Mui et al. is dated 2002, the stray leading “1” is removed from the Kshetri title, and conference booktitles no longer duplicate the style-generated “Proceedings of”. The Fabric title and ARCADIAN-IoT print year are corrected. The Varshosaz article uses its 2020 journal issue while retaining its stable bibliography key. Newly added domain papers were checked against DOI metadata. The supplementary reference-role register identifies the 39 numerically coded studies; numbering follows the revised manuscript.</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