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pStyle w:val="Title"/>
              <w:keepNext w:val="1"/>
              <w:keepLines/>
              <w:widowControl w:val="1"/>
              <w:snapToGrid w:val="0"/>
              <w:spacing w:before="0" w:after="60" w:line="260" w:lineRule="auto"/>
              <w:rPr>
                <w:rFonts w:ascii="Palatino Linotype" w:hAnsi="Palatino Linotype"/>
                <w:i/>
                <w:iCs/>
                <w:color w:val="FF0000"/>
              </w:rPr>
            </w:pPr>
            <w:r>
              <w:rPr>
                <w:rFonts w:ascii="Palatino Linotype" w:hAnsi="Palatino Linotype"/>
                <w:color w:val="000000"/>
              </w:rPr>
              <w:t xml:space="preserve">Response to Reviewer 1 Comments</w:t>
            </w:r>
          </w:p>
          <w:p>
            <w:pPr>
              <w:pStyle w:val="Title"/>
              <w:keepNext/>
              <w:keepLines/>
              <w:widowControl w:val="1"/>
              <w:wordWrap w:val="0"/>
              <w:snapToGrid w:val="0"/>
              <w:spacing w:before="0" w:after="100" w:line="500" w:lineRule="exact"/>
              <w:rPr>
                <w:rFonts w:ascii="Palatino Linotype" w:hAnsi="Palatino Linotype"/>
                <w:i/>
                <w:iCs/>
                <w:color w:val="FF0000"/>
              </w:rPr>
            </w:pPr>
            <w:r>
              <w:rPr>
                <w:rFonts w:ascii="Palatino Linotype" w:hAnsi="Palatino Linotype" w:eastAsia="SimSun" w:cs="Palatino Linotype"/>
                <w:lang w:val="en-US" w:eastAsia="zh-CN"/>
                <w:sz w:val="40"/>
                <w:szCs w:val="40"/>
                <w:color w:val="000000"/>
              </w:rPr>
              <w:t xml:space="preserve">对审稿人 1 意见的回复</w:t>
            </w:r>
          </w:p>
        </w:tc>
      </w:tr>
      <w:tr w:rsidR="00045F44" w:rsidRPr="00033C8B" w14:paraId="2126679E"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1. Summary</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1. 概述</w:t>
            </w:r>
          </w:p>
        </w:tc>
      </w:tr>
      <w:tr w:rsidR="006418A0" w:rsidRPr="00033C8B" w14:paraId="18CB770F"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Thank you for reviewing the manuscript. We have applied OAL to 39 full-text mechanism studies, added a partition–revocation–reconciliation case and a specified ledger application, strengthened the witnessed-log comparison and consensus selection, and consolidated the discussion. Section, table and figure references below refer to the revised manuscript.</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感谢您审阅本稿。我们已将 OAL 应用于 39 篇经全文核查的机制研究，补充了分区—撤销—协调恢复案例及具体的账本应用方案，强化了见证日志比较和共识选型，并整合了讨论。下文引用的章节、表格和图均对应修订稿。</w:t>
            </w:r>
          </w:p>
        </w:tc>
      </w:tr>
      <w:tr w:rsidR="00045F44" w:rsidRPr="00033C8B" w14:paraId="6AD26A6D" w14:textId="77777777" w:rsidTr="00681CC6">
        <w:trPr>
          <w:cantSplit/>
        </w:trPr>
        <w:tc>
          <w:tcPr>
            <w:tcW w:w="3913" w:type="dxa"/>
          </w:tcPr>
          <w:p w14:paraId="50A32874" w14:textId="77777777" w:rsidR="006418A0" w:rsidRPr="00033C8B" w:rsidRDefault="006418A0" w:rsidP="00681CC6">
            <w:pPr>
              <w:keepNext w:val="1"/>
              <w:snapToGrid w:val="0"/>
              <w:spacing w:before="0" w:after="60" w:line="300" w:lineRule="exact"/>
              <w:rPr>
                <w:rFonts w:ascii="Palatino Linotype" w:hAnsi="Palatino Linotype"/>
                <w:b/>
                <w:bCs/>
              </w:rPr>
            </w:pPr>
            <w:r w:rsidRPr="00033C8B">
              <w:rPr>
                <w:rFonts w:ascii="Palatino Linotype" w:hAnsi="Palatino Linotype"/>
                <w:b/>
                <w:bCs/>
              </w:rPr>
              <w:t>2. Questions for General Evaluation</w:t>
            </w:r>
          </w:p>
          <w:p>
            <w:pPr>
              <w:widowControl w:val="1"/>
              <w:wordWrap w:val="0"/>
              <w:snapToGrid w:val="0"/>
              <w:spacing w:before="0" w:after="100" w:line="300" w:lineRule="exact"/>
              <w:rPr>
                <w:rFonts w:ascii="Palatino Linotype" w:hAnsi="Palatino Linotype"/>
                <w:b/>
                <w:bCs/>
              </w:rPr>
            </w:pPr>
            <w:r>
              <w:rPr>
                <w:b/>
                <w:bCs/>
                <w:rFonts w:ascii="Palatino Linotype" w:hAnsi="Palatino Linotype" w:eastAsia="SimSun" w:cs="Palatino Linotype"/>
                <w:lang w:val="en-US" w:eastAsia="zh-CN"/>
                <w:sz w:val="23"/>
                <w:szCs w:val="23"/>
              </w:rPr>
              <w:t xml:space="preserve">2. 总体评价问题</w:t>
            </w:r>
          </w:p>
        </w:tc>
        <w:tc>
          <w:tcPr>
            <w:tcW w:w="2745" w:type="dxa"/>
          </w:tcPr>
          <w:p w14:paraId="1E53D836" w14:textId="77777777" w:rsidR="006418A0" w:rsidRPr="00033C8B" w:rsidRDefault="006418A0" w:rsidP="00681CC6">
            <w:pPr>
              <w:keepNext w:val="1"/>
              <w:snapToGrid w:val="0"/>
              <w:spacing w:before="0" w:after="60" w:line="300" w:lineRule="exact"/>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p>
            <w:pPr>
              <w:widowControl w:val="1"/>
              <w:wordWrap w:val="0"/>
              <w:snapToGrid w:val="0"/>
              <w:spacing w:before="0" w:after="100" w:line="300" w:lineRule="exact"/>
              <w:rPr>
                <w:rFonts w:ascii="Palatino Linotype" w:hAnsi="Palatino Linotype"/>
                <w:b/>
                <w:bCs/>
              </w:rPr>
            </w:pPr>
            <w:r>
              <w:rPr>
                <w:b/>
                <w:bCs/>
                <w:rFonts w:ascii="Palatino Linotype" w:hAnsi="Palatino Linotype" w:eastAsia="SimSun" w:cs="Palatino Linotype"/>
                <w:lang w:val="en-US" w:eastAsia="zh-CN"/>
                <w:sz w:val="23"/>
                <w:szCs w:val="23"/>
              </w:rPr>
              <w:t xml:space="preserve">审稿人的评价</w:t>
            </w:r>
          </w:p>
        </w:tc>
        <w:tc>
          <w:tcPr>
            <w:tcW w:w="2176" w:type="dxa"/>
          </w:tcPr>
          <w:p w14:paraId="119A62F1" w14:textId="77777777" w:rsidR="006418A0" w:rsidRPr="00033C8B" w:rsidRDefault="006418A0" w:rsidP="00681CC6">
            <w:pPr>
              <w:keepNext w:val="1"/>
              <w:snapToGrid w:val="0"/>
              <w:spacing w:before="0" w:after="60" w:line="300" w:lineRule="exact"/>
              <w:rPr>
                <w:rFonts w:ascii="Palatino Linotype" w:hAnsi="Palatino Linotype"/>
                <w:b/>
                <w:bCs/>
              </w:rPr>
            </w:pPr>
            <w:r w:rsidRPr="00033C8B">
              <w:rPr>
                <w:rFonts w:ascii="Palatino Linotype" w:hAnsi="Palatino Linotype"/>
                <w:b/>
                <w:bCs/>
              </w:rPr>
              <w:t>Response and Revisions</w:t>
            </w:r>
          </w:p>
          <w:p>
            <w:pPr>
              <w:widowControl w:val="1"/>
              <w:wordWrap w:val="0"/>
              <w:snapToGrid w:val="0"/>
              <w:spacing w:before="0" w:after="100" w:line="300" w:lineRule="exact"/>
              <w:rPr>
                <w:rFonts w:ascii="Palatino Linotype" w:hAnsi="Palatino Linotype"/>
                <w:b/>
                <w:bCs/>
              </w:rPr>
            </w:pPr>
            <w:r>
              <w:rPr>
                <w:b/>
                <w:bCs/>
                <w:rFonts w:ascii="Palatino Linotype" w:hAnsi="Palatino Linotype" w:eastAsia="SimSun" w:cs="Palatino Linotype"/>
                <w:lang w:val="en-US" w:eastAsia="zh-CN"/>
                <w:sz w:val="23"/>
                <w:szCs w:val="23"/>
              </w:rPr>
              <w:t xml:space="preserve">回复与修改</w:t>
            </w:r>
          </w:p>
        </w:tc>
      </w:tr>
      <w:tr w:rsidR="008F6E5E" w:rsidRPr="00033C8B" w14:paraId="3313993E"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Is the work a significant contribution to the field?</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本研究是否对该领域作出了重要贡献？</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3/5 stars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3/5 星</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The full-text OAL application and ledger-relevant case are added; see Response 1.</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已补充对全文研究的 OAL 应用及与账本相关的案例，详见回复 1。</w:t>
            </w:r>
          </w:p>
        </w:tc>
      </w:tr>
      <w:tr w:rsidR="008F6E5E" w:rsidRPr="00033C8B" w14:paraId="685F4DE7"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Is the work well organized and comprehensively described?</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论文是否组织合理、描述全面？</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4/5 stars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4/5 星</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Methods, literature mapping and the worked case are integrated into Sections 2–7.</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研究方法、文献映射及具体案例已整合到第 2—7 节。</w:t>
            </w:r>
          </w:p>
        </w:tc>
      </w:tr>
      <w:tr w:rsidR="008F6E5E" w:rsidRPr="00033C8B" w14:paraId="23BE3A8B"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Is the work scientifically sound and not misleading?</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研究在科学上是否严谨，且不存在误导？</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4/5 stars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4/5 星</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The replay scope and matched log comparison are stated explicitly.</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已明确说明回放的验证范围，以及在匹配条件下与日志基线的比较。</w:t>
            </w:r>
          </w:p>
        </w:tc>
      </w:tr>
      <w:tr w:rsidR="008F6E5E" w:rsidRPr="00033C8B" w14:paraId="200F7218"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Are there appropriate and adequate references to related and previous work?</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是否充分、恰当地引用了相关研究和既有工作？</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5/5 stars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5/5 星</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Thank you for this positive assessment.</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感谢您给予这一积极评价。</w:t>
            </w:r>
          </w:p>
        </w:tc>
      </w:tr>
      <w:tr w:rsidR="008F6E5E" w:rsidRPr="00033C8B" w14:paraId="1B079DD8"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Is the English used correct and readable?</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英语使用是否正确、易读？</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The English is fine and does not require any improvement.</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英语表达良好，无需改进。</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Thank you. Minor edits improve consistency and concision.</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感谢您。我们通过少量文字修改提高了表述的一致性和简洁性。</w:t>
            </w:r>
          </w:p>
        </w:tc>
      </w:tr>
      <w:tr w:rsidR="008F6E5E" w:rsidRPr="00033C8B" w14:paraId="6381B93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3. Point-by-point response to Comments and Suggestions for Authors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3. 对作者意见和建议的逐条回复</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1: The paper is solid work and suggests a very useful Object-Assurance-Lifecycle framework based on careful literature analysis. It honestly admits that the blockchain, or any ledger, is only one of the layers providing security. However, no further validation is provided except a small example using no ledger at all.  This makes the title "Blockchain-assisted mission " without support from examples. Also, the suggested framework is not applied to their own literature analysis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1：这项研究工作扎实，在细致分析文献的基础上提出了很有用的“对象—保障—生命周期”（Object-Assurance-Lifecycle）框架。文章坦诚地指出，区块链或任何账本都只是提供安全保障的一个层次。然而，除一个完全未使用账本的小例子外，文章没有提供进一步验证。因此，标题中的“区块链辅助任务”（Blockchain-assisted mission）缺乏实例支撑。此外，作者也没有将所提出的框架用于自身的文献分析。</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1: Thank you for identifying the need to connect the framework to both the reviewed evidence and a ledger-relevant example. We have revised the manuscript in both respects.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1：感谢您指出，需要将框架同时与所综述的证据及账本相关实例联系起来。我们已从这两个方面修订论文。</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OAL is applied to 39 full-text mechanism studies through 89 scoped claim records. Section 2 distinguishes the 19 domain-focused studies, 20 transferable mechanisms and the 123-reference bibliography. Table 2 identifies the study groups and their sources; Figure 3 presents the framework schematic beside the populated heatmap. Section 5.3 and Table 5 compare what AIS protection, observation corroboration, attestation, trust-aware routing and consensus support, and specify the evidence required at the next handover. Section 5.4 and Table 6 report domain stratification, study-exclusion and coding sensitivity, and the results of removing each of the 39 studies in turn. Zero cells denote no coded claim in this sample. The physical UAV-node experiment is identified as evidence of cooperation and path adaptation under its stated operating conditions.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我们通过 89 条限定范围的机制主张记录，将 OAL 应用于 39 篇经全文核查的机制研究。第 2 节区分了 19 篇面向具体应用领域的研究、20 篇提供可迁移机制的研究，以及包含 123 条文献的参考文献表。表 2 列出了各研究组及其文献来源；图 3 将框架示意图与填入数据的热图并列呈现。第 5.3 节和表 5 比较了 AIS 保护、观测佐证、远程证明、信任感知路由及共识机制所支持的内容，并明确下一次交接所需的证据。第 5.4 节和表 6 报告了领域分层、研究排除和编码选择的敏感性分析，以及依次删除 39 篇研究中每一篇后的结果。零值单元格表示本样本中没有相应的编码主张。实物 UAV 节点实验被列为在其所述运行条件下支持协作和路径自适应的证据。</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6.4 presents a coalition mission that loses its gateway connection, commits a shore-side key revocation, and reconciles records after reconnection. Event intervals before, overlapping and after the effective revocation time lead to historical eligibility, quarantine and rejection, respectively. The example distinguishes locally available delegation from global authority learned later. Table 8 compares these outcomes with a mean-score policy and a veto-aware scalar policy using the same features.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6.4 节给出一个联盟任务：网关连接中断，岸端提交密钥撤销，随后在重新连接后对记录进行协调处理。事件时间区间分别位于撤销生效时间之前、与之重叠及之后时，会分别得到可纳入历史审计、隔离待审和拒绝的结果。该案例区分了本地可用的委托授权与稍后获知的全局权限。表 8 使用相同的输入特征，将这些结果与均值评分策略和具有否决规则的标量策略进行比较。</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Sections 7.2–7.4 specify the participating organizations, peer/orderer placement, joint endorsement policy, state keys, deterministic chaincode operations, receipt verification and communication budget. We executed a synthetic replay that checks signatures, Merkle inclusion, arrival-order and duplicate-delivery handling, and all 16 coalition signer subsets. We also calculated application-message sizes from the stated encoding and examined partition/deadline sensitivity under declared delay assumptions. These analyses test the specified rules and payload requirements; they do not measure Fabric deployment, consensus or integrated sea-trial performance.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7.2—7.4 节明确了参与组织、对等节点和排序节点的部署位置、联合背书策略、状态键、确定性链码操作、回执验证及通信预算。我们执行了合成回放，检查签名、Merkle 包含证明、乱序与重复消息处理，以及联盟签署者的全部 16 种子集。我们还根据所述编码计算了应用消息大小，并在明确的时延假设下分析了分区时长与截止时间的敏感性。这些分析检验的是所规定的规则和载荷需求，不涉及对 Fabric 部署、共识或综合海试性能的测量。</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The abstract and Sections 7.1 and 11 state the ledger’s role in jointly governed commitments, policy state and reconciliation. A policy-validating witnessed log produces the same decisions under matched rules. Ledger value is therefore conditional on governance requirements and implementation cost. The coalition case connects this role to specific authorization rules and recovery operations.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摘要以及第 7.1 节和第 11 节说明了账本在共同治理的承诺记录、策略状态和协调恢复中的作用。在规则匹配的条件下，执行策略校验的见证日志会产生相同的决策。因此，账本的价值取决于治理需求和实现成本。联盟案例将这一作用落实到具体的授权规则和恢复操作中。</w:t>
            </w:r>
          </w:p>
        </w:tc>
      </w:tr>
      <w:tr w:rsidR="008F6E5E" w:rsidRPr="00033C8B" w14:paraId="5D02141B"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4. Response to Comments on the Quality of English Language</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4. 对英语语言质量意见的回复</w:t>
            </w:r>
          </w:p>
        </w:tc>
      </w:tr>
      <w:tr w:rsidR="008F6E5E" w:rsidRPr="00033C8B" w14:paraId="7207E4CC"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The English is fine and does not require any improvement.</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英语表达良好，无需改进。</w:t>
            </w:r>
          </w:p>
        </w:tc>
      </w:tr>
      <w:tr w:rsidR="008F6E5E" w:rsidRPr="00033C8B" w14:paraId="65254A97"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Thank you for this assessment. We have made minor edits for consistency and concision while revising the manuscript.</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回复：感谢您给予这一评价。修订论文时，我们进行了少量文字修改，以提高表述的一致性和简洁性。</w:t>
            </w:r>
          </w:p>
        </w:tc>
      </w:tr>
      <w:tr w:rsidR="008F6E5E" w:rsidRPr="00033C8B" w14:paraId="64323D46"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5. Additional clarifications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5. 补充说明</w:t>
            </w:r>
          </w:p>
        </w:tc>
      </w:tr>
      <w:tr w:rsidR="008F6E5E" w:rsidRPr="00033C8B" w14:paraId="30B80919"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The analytical results concern literature coding, deterministic policy checks and application-byte calculations. Fabric deployment and integrated mission trials are proposed validation steps.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本文的分析结果涉及文献编码、确定性策略检查及应用层字节量计算。Fabric 部署和综合任务试验属于后续验证步骤。</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