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rPr>
                <w:rFonts w:ascii="Palatino Linotype" w:hAnsi="Palatino Linotype"/>
                <w:i/>
                <w:iCs/>
                <w:color w:val="FF0000"/>
              </w:rPr>
              <w:pStyle w:val="Title"/>
              <w:spacing w:before="0" w:after="200" w:line="260" w:lineRule="auto"/>
              <w:widowControl w:val="1"/>
              <w:keepNext/>
              <w:keepLines/>
            </w:pPr>
            <w:r>
              <w:rPr>
                <w:rFonts w:ascii="Palatino Linotype" w:hAnsi="Palatino Linotype"/>
                <w:color w:val="000000"/>
              </w:rPr>
              <w:t xml:space="preserve">Response to Reviewer 1 Comments</w:t>
            </w:r>
          </w:p>
        </w:tc>
      </w:tr>
      <w:tr w:rsidR="00045F44" w:rsidRPr="00033C8B" w14:paraId="2126679E"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1. Summary</w:t>
            </w:r>
          </w:p>
        </w:tc>
      </w:tr>
      <w:tr w:rsidR="006418A0" w:rsidRPr="00033C8B" w14:paraId="18CB770F"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Thank you for reviewing the manuscript. We have applied OAL to 39 full-text mechanism studies, added a partition–revocation–reconciliation case and a specified ledger application, strengthened the witnessed-log comparison and consensus selection, and consolidated the discussion. Section, table and figure references below refer to the revised manuscript.</w:t>
            </w:r>
          </w:p>
        </w:tc>
      </w:tr>
      <w:tr w:rsidR="00045F44" w:rsidRPr="00033C8B" w14:paraId="6AD26A6D" w14:textId="77777777" w:rsidTr="00681CC6">
        <w:trPr>
          <w:cantSplit/>
        </w:trPr>
        <w:tc>
          <w:tcPr>
            <w:tcW w:w="3913" w:type="dxa"/>
          </w:tcPr>
          <w:p w14:paraId="50A32874" w14:textId="77777777" w:rsidR="006418A0" w:rsidRPr="00033C8B" w:rsidRDefault="006418A0" w:rsidP="00681CC6">
            <w:pPr>
              <w:rPr>
                <w:rFonts w:ascii="Palatino Linotype" w:hAnsi="Palatino Linotype"/>
                <w:b/>
                <w:bCs/>
              </w:rPr>
            </w:pPr>
            <w:r w:rsidRPr="00033C8B">
              <w:rPr>
                <w:rFonts w:ascii="Palatino Linotype" w:hAnsi="Palatino Linotype"/>
                <w:b/>
                <w:bCs/>
              </w:rPr>
              <w:t>2. Questions for General Evaluation</w:t>
            </w:r>
          </w:p>
        </w:tc>
        <w:tc>
          <w:tcPr>
            <w:tcW w:w="2745" w:type="dxa"/>
          </w:tcPr>
          <w:p w14:paraId="1E53D836" w14:textId="77777777" w:rsidR="006418A0" w:rsidRPr="00033C8B" w:rsidRDefault="006418A0" w:rsidP="00681CC6">
            <w:pPr>
              <w:rPr>
                <w:rFonts w:ascii="Palatino Linotype" w:hAnsi="Palatino Linotype"/>
                <w:b/>
                <w:bCs/>
              </w:rPr>
            </w:pPr>
            <w:r w:rsidRPr="00033C8B">
              <w:rPr>
                <w:rFonts w:ascii="Palatino Linotype" w:hAnsi="Palatino Linotype"/>
                <w:b/>
                <w:bCs/>
              </w:rPr>
              <w:t>Reviewer’s E</w:t>
            </w:r>
            <w:r w:rsidRPr="00033C8B">
              <w:rPr>
                <w:rFonts w:ascii="Palatino Linotype" w:eastAsiaTheme="minorEastAsia" w:hAnsi="Palatino Linotype"/>
                <w:b/>
                <w:bCs/>
              </w:rPr>
              <w:t>va</w:t>
            </w:r>
            <w:r w:rsidRPr="00033C8B">
              <w:rPr>
                <w:rFonts w:ascii="Palatino Linotype" w:hAnsi="Palatino Linotype"/>
                <w:b/>
                <w:bCs/>
              </w:rPr>
              <w:t>luation</w:t>
            </w:r>
          </w:p>
        </w:tc>
        <w:tc>
          <w:tcPr>
            <w:tcW w:w="2176" w:type="dxa"/>
          </w:tcPr>
          <w:p w14:paraId="119A62F1" w14:textId="77777777" w:rsidR="006418A0" w:rsidRPr="00033C8B" w:rsidRDefault="006418A0" w:rsidP="00681CC6">
            <w:pPr>
              <w:rPr>
                <w:rFonts w:ascii="Palatino Linotype" w:hAnsi="Palatino Linotype"/>
                <w:b/>
                <w:bCs/>
              </w:rPr>
            </w:pPr>
            <w:r w:rsidRPr="00033C8B">
              <w:rPr>
                <w:rFonts w:ascii="Palatino Linotype" w:hAnsi="Palatino Linotype"/>
                <w:b/>
                <w:bCs/>
              </w:rPr>
              <w:t>Response and Revisions</w:t>
            </w:r>
          </w:p>
        </w:tc>
      </w:tr>
      <w:tr w:rsidR="008F6E5E" w:rsidRPr="00033C8B" w14:paraId="3313993E"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a significant contribution to the field?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3/5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full-text OAL application and ledger-relevant case are added; see Response 1.</w:t>
            </w:r>
          </w:p>
        </w:tc>
      </w:tr>
      <w:tr w:rsidR="008F6E5E" w:rsidRPr="00033C8B" w14:paraId="685F4DE7"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well organized and comprehensively described?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Methods, literature mapping and the worked case are integrated into Sections 2–7.</w:t>
            </w:r>
          </w:p>
        </w:tc>
      </w:tr>
      <w:tr w:rsidR="008F6E5E" w:rsidRPr="00033C8B" w14:paraId="23BE3A8B"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scientifically sound and not misleading?</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replay scope and matched log comparison are stated explicitly.</w:t>
            </w:r>
          </w:p>
        </w:tc>
      </w:tr>
      <w:tr w:rsidR="008F6E5E" w:rsidRPr="00033C8B" w14:paraId="200F721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Are there appropriate and adequate references to related and previous work?</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5/5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Thank you for this positive assessment.</w:t>
            </w:r>
          </w:p>
        </w:tc>
      </w:tr>
      <w:tr w:rsidR="008F6E5E" w:rsidRPr="00033C8B" w14:paraId="1B079DD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English used correct and readable?</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English is fine and does not require any improvement.</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Thank you. Minor edits improve consistency and concision.</w:t>
            </w:r>
          </w:p>
        </w:tc>
      </w:tr>
      <w:tr w:rsidR="008F6E5E" w:rsidRPr="00033C8B" w14:paraId="6381B93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3. Point-by-point response to Comments and Suggestions for Authors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1: The paper is solid work and suggests a very useful Object-Assurance-Lifecycle framework based on careful literature analysis. It honestly admits that the blockchain, or any ledger, is only one of the layers providing security. However, no further validation is provided except a small example using no ledger at all.  This makes the title "Blockchain-assisted mission " without support from examples. Also, the suggested framework is not applied to their own literature analysis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1: Thank you for identifying the need to connect the framework to both the reviewed evidence and a ledger-relevant example. We have revised the manuscript in both respects.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OAL is applied to 39 full-text mechanism studies through 89 scoped claim records. Section 2 distinguishes the 19 domain-focused studies, 20 transferable mechanisms and the 123-reference bibliography. Table 2 identifies the study groups and their sources; Figure 3 presents the framework schematic beside the populated heatmap. Section 5.3 and Table 5 compare what AIS protection, observation corroboration, attestation, trust-aware routing and consensus support, and specify the evidence required at the next handover. Section 5.4 and Table 6 report domain stratification, study-exclusion and coding sensitivity, and the results of removing each of the 39 studies in turn. Zero cells denote no coded claim in this sample. The physical UAV-node experiment is identified as evidence of cooperation and path adaptation under its stated operating conditions.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6.4 presents a coalition mission that loses its gateway connection, commits a shore-side key revocation, and reconciles records after reconnection. Event intervals before, overlapping and after the effective revocation time lead to historical eligibility, quarantine and rejection, respectively. The example distinguishes locally available delegation from global authority learned later. Table 8 compares these outcomes with a mean-score policy and a veto-aware scalar policy using the same features.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Sections 7.2–7.4 specify the participating organizations, peer/orderer placement, joint endorsement policy, state keys, deterministic chaincode operations, receipt verification and communication budget. We executed a synthetic replay that checks signatures, Merkle inclusion, arrival-order and duplicate-delivery handling, and all 16 coalition signer subsets. We also calculated application-message sizes from the stated encoding and examined partition/deadline sensitivity under declared delay assumptions. These analyses test the specified rules and payload requirements; they do not measure Fabric deployment, consensus or integrated sea-trial performance.</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abstract and Sections 7.1 and 11 state the ledger’s role in jointly governed commitments, policy state and reconciliation. A policy-validating witnessed log produces the same decisions under matched rules. Ledger value is therefore conditional on governance requirements and implementation cost. The coalition case connects this role to specific authorization rules and recovery operations.</w:t>
            </w:r>
          </w:p>
        </w:tc>
      </w:tr>
      <w:tr w:rsidR="008F6E5E" w:rsidRPr="00033C8B" w14:paraId="5D02141B"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4. Response to Comments on the Quality of English Language</w:t>
            </w:r>
          </w:p>
        </w:tc>
      </w:tr>
      <w:tr w:rsidR="008F6E5E" w:rsidRPr="00033C8B" w14:paraId="7207E4CC"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The English is fine and does not require any improvement.</w:t>
            </w:r>
          </w:p>
        </w:tc>
      </w:tr>
      <w:tr w:rsidR="008F6E5E" w:rsidRPr="00033C8B" w14:paraId="65254A97"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Thank you for this assessment. We have made minor edits for consistency and concision while revising the manuscript.</w:t>
            </w:r>
          </w:p>
        </w:tc>
      </w:tr>
      <w:tr w:rsidR="008F6E5E" w:rsidRPr="00033C8B" w14:paraId="64323D46"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5. Additional clarifications</w:t>
            </w:r>
          </w:p>
        </w:tc>
      </w:tr>
      <w:tr w:rsidR="008F6E5E" w:rsidRPr="00033C8B" w14:paraId="30B80919"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analytical results concern literature coding, deterministic policy checks and application-byte calculations. Fabric deployment and integrated mission trials are proposed validation steps.</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