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pStyle w:val="Title"/>
              <w:keepNext w:val="1"/>
              <w:keepLines/>
              <w:widowControl w:val="1"/>
              <w:snapToGrid w:val="0"/>
              <w:spacing w:before="0" w:after="60" w:line="260" w:lineRule="auto"/>
              <w:rPr>
                <w:rFonts w:ascii="Palatino Linotype" w:hAnsi="Palatino Linotype"/>
                <w:i/>
                <w:iCs/>
                <w:color w:val="FF0000"/>
              </w:rPr>
            </w:pPr>
            <w:r>
              <w:rPr>
                <w:rFonts w:ascii="Palatino Linotype" w:hAnsi="Palatino Linotype"/>
                <w:color w:val="000000"/>
              </w:rPr>
              <w:t xml:space="preserve">Response to Reviewer 2 Comments</w:t>
            </w:r>
          </w:p>
          <w:p>
            <w:pPr>
              <w:pStyle w:val="Title"/>
              <w:keepNext/>
              <w:keepLines/>
              <w:widowControl w:val="1"/>
              <w:wordWrap w:val="0"/>
              <w:snapToGrid w:val="0"/>
              <w:spacing w:before="0" w:after="100" w:line="500" w:lineRule="exact"/>
              <w:rPr>
                <w:rFonts w:ascii="Palatino Linotype" w:hAnsi="Palatino Linotype"/>
                <w:i/>
                <w:iCs/>
                <w:color w:val="FF0000"/>
              </w:rPr>
            </w:pPr>
            <w:r>
              <w:rPr>
                <w:rFonts w:ascii="Palatino Linotype" w:hAnsi="Palatino Linotype" w:eastAsia="SimSun" w:cs="Palatino Linotype"/>
                <w:lang w:val="en-US" w:eastAsia="zh-CN"/>
                <w:sz w:val="40"/>
                <w:szCs w:val="40"/>
                <w:color w:val="000000"/>
              </w:rPr>
              <w:t xml:space="preserve">对审稿人 2 意见的回复</w:t>
            </w:r>
          </w:p>
        </w:tc>
      </w:tr>
      <w:tr w:rsidR="00045F44" w:rsidRPr="00033C8B" w14:paraId="2126679E"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b/>
                <w:sz w:val="23"/>
                <w:szCs w:val="23"/>
              </w:rPr>
              <w:t xml:space="preserve">1. Summary</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b/>
                <w:rFonts w:ascii="Palatino Linotype" w:hAnsi="Palatino Linotype" w:eastAsia="SimSun" w:cs="Palatino Linotype"/>
                <w:lang w:val="en-US" w:eastAsia="zh-CN"/>
                <w:sz w:val="23"/>
                <w:szCs w:val="23"/>
              </w:rPr>
              <w:t xml:space="preserve">1. 概述</w:t>
            </w:r>
          </w:p>
        </w:tc>
      </w:tr>
      <w:tr w:rsidR="006418A0" w:rsidRPr="00033C8B" w14:paraId="18CB770F"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Thank you for reviewing the manuscript. We have applied OAL to 39 full-text mechanism studies, added a partition–revocation–reconciliation case and a specified ledger application, strengthened the witnessed-log comparison and consensus selection, and consolidated the discussion. Section, table and figure references below refer to the revised manuscript.</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感谢您审阅本稿。我们已将 OAL 应用于 39 篇经全文核查的机制研究，补充了分区—撤销—协调恢复案例及具体的账本应用方案，强化了见证日志比较和共识选型，并整合了讨论。下文引用的章节、表格和图均对应修订稿。</w:t>
            </w:r>
          </w:p>
        </w:tc>
      </w:tr>
      <w:tr w:rsidR="00045F44" w:rsidRPr="00033C8B" w14:paraId="6AD26A6D" w14:textId="77777777" w:rsidTr="00681CC6">
        <w:trPr>
          <w:cantSplit/>
        </w:trPr>
        <w:tc>
          <w:tcPr>
            <w:tcW w:w="3913" w:type="dxa"/>
          </w:tcPr>
          <w:p w14:paraId="50A32874" w14:textId="77777777" w:rsidR="006418A0" w:rsidRPr="00033C8B" w:rsidRDefault="006418A0" w:rsidP="00681CC6">
            <w:pPr>
              <w:keepNext w:val="1"/>
              <w:snapToGrid w:val="0"/>
              <w:spacing w:before="0" w:after="60" w:line="300" w:lineRule="exact"/>
              <w:rPr>
                <w:rFonts w:ascii="Palatino Linotype" w:hAnsi="Palatino Linotype"/>
                <w:b/>
                <w:bCs/>
              </w:rPr>
            </w:pPr>
            <w:r w:rsidRPr="00033C8B">
              <w:rPr>
                <w:rFonts w:ascii="Palatino Linotype" w:hAnsi="Palatino Linotype"/>
                <w:b/>
                <w:bCs/>
              </w:rPr>
              <w:t>2. Questions for General Evaluation</w:t>
            </w:r>
          </w:p>
          <w:p>
            <w:pPr>
              <w:widowControl w:val="1"/>
              <w:wordWrap w:val="0"/>
              <w:snapToGrid w:val="0"/>
              <w:spacing w:before="0" w:after="100" w:line="300" w:lineRule="exact"/>
              <w:rPr>
                <w:rFonts w:ascii="Palatino Linotype" w:hAnsi="Palatino Linotype"/>
                <w:b/>
                <w:bCs/>
              </w:rPr>
            </w:pPr>
            <w:r>
              <w:rPr>
                <w:b/>
                <w:bCs/>
                <w:rFonts w:ascii="Palatino Linotype" w:hAnsi="Palatino Linotype" w:eastAsia="SimSun" w:cs="Palatino Linotype"/>
                <w:lang w:val="en-US" w:eastAsia="zh-CN"/>
                <w:sz w:val="23"/>
                <w:szCs w:val="23"/>
              </w:rPr>
              <w:t xml:space="preserve">2. 总体评价问题</w:t>
            </w:r>
          </w:p>
        </w:tc>
        <w:tc>
          <w:tcPr>
            <w:tcW w:w="2745" w:type="dxa"/>
          </w:tcPr>
          <w:p w14:paraId="1E53D836" w14:textId="77777777" w:rsidR="006418A0" w:rsidRPr="00033C8B" w:rsidRDefault="006418A0" w:rsidP="00681CC6">
            <w:pPr>
              <w:keepNext w:val="1"/>
              <w:snapToGrid w:val="0"/>
              <w:spacing w:before="0" w:after="60" w:line="300" w:lineRule="exact"/>
              <w:rPr>
                <w:rFonts w:ascii="Palatino Linotype" w:hAnsi="Palatino Linotype"/>
                <w:b/>
                <w:bCs/>
              </w:rPr>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p>
            <w:pPr>
              <w:widowControl w:val="1"/>
              <w:wordWrap w:val="0"/>
              <w:snapToGrid w:val="0"/>
              <w:spacing w:before="0" w:after="100" w:line="300" w:lineRule="exact"/>
              <w:rPr>
                <w:rFonts w:ascii="Palatino Linotype" w:hAnsi="Palatino Linotype"/>
                <w:b/>
                <w:bCs/>
              </w:rPr>
            </w:pPr>
            <w:r>
              <w:rPr>
                <w:b/>
                <w:bCs/>
                <w:rFonts w:ascii="Palatino Linotype" w:hAnsi="Palatino Linotype" w:eastAsia="SimSun" w:cs="Palatino Linotype"/>
                <w:lang w:val="en-US" w:eastAsia="zh-CN"/>
                <w:sz w:val="23"/>
                <w:szCs w:val="23"/>
              </w:rPr>
              <w:t xml:space="preserve">审稿人的评价</w:t>
            </w:r>
          </w:p>
        </w:tc>
        <w:tc>
          <w:tcPr>
            <w:tcW w:w="2176" w:type="dxa"/>
          </w:tcPr>
          <w:p w14:paraId="119A62F1" w14:textId="77777777" w:rsidR="006418A0" w:rsidRPr="00033C8B" w:rsidRDefault="006418A0" w:rsidP="00681CC6">
            <w:pPr>
              <w:keepNext w:val="1"/>
              <w:snapToGrid w:val="0"/>
              <w:spacing w:before="0" w:after="60" w:line="300" w:lineRule="exact"/>
              <w:rPr>
                <w:rFonts w:ascii="Palatino Linotype" w:hAnsi="Palatino Linotype"/>
                <w:b/>
                <w:bCs/>
              </w:rPr>
            </w:pPr>
            <w:r w:rsidRPr="00033C8B">
              <w:rPr>
                <w:rFonts w:ascii="Palatino Linotype" w:hAnsi="Palatino Linotype"/>
                <w:b/>
                <w:bCs/>
              </w:rPr>
              <w:t>Response and Revisions</w:t>
            </w:r>
          </w:p>
          <w:p>
            <w:pPr>
              <w:widowControl w:val="1"/>
              <w:wordWrap w:val="0"/>
              <w:snapToGrid w:val="0"/>
              <w:spacing w:before="0" w:after="100" w:line="300" w:lineRule="exact"/>
              <w:rPr>
                <w:rFonts w:ascii="Palatino Linotype" w:hAnsi="Palatino Linotype"/>
                <w:b/>
                <w:bCs/>
              </w:rPr>
            </w:pPr>
            <w:r>
              <w:rPr>
                <w:b/>
                <w:bCs/>
                <w:rFonts w:ascii="Palatino Linotype" w:hAnsi="Palatino Linotype" w:eastAsia="SimSun" w:cs="Palatino Linotype"/>
                <w:lang w:val="en-US" w:eastAsia="zh-CN"/>
                <w:sz w:val="23"/>
                <w:szCs w:val="23"/>
              </w:rPr>
              <w:t xml:space="preserve">回复与修改</w:t>
            </w:r>
          </w:p>
        </w:tc>
      </w:tr>
      <w:tr w:rsidR="008F6E5E" w:rsidRPr="00033C8B" w14:paraId="3313993E" w14:textId="77777777" w:rsidTr="00681CC6">
        <w:trPr>
          <w:cantSplit/>
        </w:trPr>
        <w:tc>
          <w:tcPr>
            <w:tcW w:w="3913"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Is the work a significant contribution to the field?</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本研究是否对该领域作出了重要贡献？</w:t>
            </w:r>
          </w:p>
        </w:tc>
        <w:tc>
          <w:tcPr>
            <w:tcW w:w="2745"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4/5 stars</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4/5 星</w:t>
            </w:r>
          </w:p>
        </w:tc>
        <w:tc>
          <w:tcPr>
            <w:tcW w:w="2176"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See Responses 2–4 for the evidence map and specified application.</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证据映射及具体应用方案详见回复 2—4。</w:t>
            </w:r>
          </w:p>
        </w:tc>
      </w:tr>
      <w:tr w:rsidR="008F6E5E" w:rsidRPr="00033C8B" w14:paraId="685F4DE7" w14:textId="77777777" w:rsidTr="00681CC6">
        <w:trPr>
          <w:cantSplit/>
        </w:trPr>
        <w:tc>
          <w:tcPr>
            <w:tcW w:w="3913"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Is the work well organized and comprehensively described?</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论文是否组织合理、描述全面？</w:t>
            </w:r>
          </w:p>
        </w:tc>
        <w:tc>
          <w:tcPr>
            <w:tcW w:w="2745"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4/5 stars</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4/5 星</w:t>
            </w:r>
          </w:p>
        </w:tc>
        <w:tc>
          <w:tcPr>
            <w:tcW w:w="2176"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See Response 8 for shortening and consolidated limitations.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篇幅压缩及局限性整合详见回复 8。</w:t>
            </w:r>
          </w:p>
        </w:tc>
      </w:tr>
      <w:tr w:rsidR="008F6E5E" w:rsidRPr="00033C8B" w14:paraId="23BE3A8B" w14:textId="77777777" w:rsidTr="00681CC6">
        <w:trPr>
          <w:cantSplit/>
        </w:trPr>
        <w:tc>
          <w:tcPr>
            <w:tcW w:w="3913"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Is the work scientifically sound and not misleading?</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研究在科学上是否严谨，且不存在误导？</w:t>
            </w:r>
          </w:p>
        </w:tc>
        <w:tc>
          <w:tcPr>
            <w:tcW w:w="2745"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3/5 stars</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3/5 星</w:t>
            </w:r>
          </w:p>
        </w:tc>
        <w:tc>
          <w:tcPr>
            <w:tcW w:w="2176"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See Responses 3, 6 and 7 for stronger comparisons and falsifiable claims.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更充分的比较及可证伪主张详见回复 3、6 和 7。</w:t>
            </w:r>
          </w:p>
        </w:tc>
      </w:tr>
      <w:tr w:rsidR="008F6E5E" w:rsidRPr="00033C8B" w14:paraId="200F7218" w14:textId="77777777" w:rsidTr="00681CC6">
        <w:trPr>
          <w:cantSplit/>
        </w:trPr>
        <w:tc>
          <w:tcPr>
            <w:tcW w:w="3913"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Are there appropriate and adequate references to related and previous work?</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是否充分、恰当地引用了相关研究和既有工作？</w:t>
            </w:r>
          </w:p>
        </w:tc>
        <w:tc>
          <w:tcPr>
            <w:tcW w:w="2745"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3/5 stars</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3/5 星</w:t>
            </w:r>
          </w:p>
        </w:tc>
        <w:tc>
          <w:tcPr>
            <w:tcW w:w="2176"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See Responses 1, 5 and 9 for methods, positioning and reference corrections.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方法、研究定位及参考文献修正详见回复 1、5 和 9。</w:t>
            </w:r>
          </w:p>
        </w:tc>
      </w:tr>
      <w:tr w:rsidR="008F6E5E" w:rsidRPr="00033C8B" w14:paraId="1B079DD8" w14:textId="77777777" w:rsidTr="00681CC6">
        <w:trPr>
          <w:cantSplit/>
        </w:trPr>
        <w:tc>
          <w:tcPr>
            <w:tcW w:w="3913"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Is the English used correct and readable?</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英语使用是否正确、易读？</w:t>
            </w:r>
          </w:p>
        </w:tc>
        <w:tc>
          <w:tcPr>
            <w:tcW w:w="2745"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The English is fine and does not require any improvement.</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英语表达良好，无需改进。</w:t>
            </w:r>
          </w:p>
        </w:tc>
        <w:tc>
          <w:tcPr>
            <w:tcW w:w="2176" w:type="dxa"/>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Thank you. The wording and typographical issues in Comment 9 have been corrected.</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感谢您。意见 9 中指出的措辞和拼写问题已修正。</w:t>
            </w:r>
          </w:p>
        </w:tc>
      </w:tr>
      <w:tr w:rsidR="008F6E5E" w:rsidRPr="00033C8B" w14:paraId="6381B93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b/>
                <w:sz w:val="23"/>
                <w:szCs w:val="23"/>
              </w:rPr>
              <w:t xml:space="preserve">3. Point-by-point response to Comments and Suggestions for Authors</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b/>
                <w:rFonts w:ascii="Palatino Linotype" w:hAnsi="Palatino Linotype" w:eastAsia="SimSun" w:cs="Palatino Linotype"/>
                <w:lang w:val="en-US" w:eastAsia="zh-CN"/>
                <w:sz w:val="23"/>
                <w:szCs w:val="23"/>
              </w:rPr>
              <w:t xml:space="preserve">3. 对作者意见和建议的逐条回复</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1: The paper gives no information on how the 141 references were identified or selected (databases, search strings, inclusion criteria). Please add a brief methods subsection so that readers can judge the coverage of the synthesis.</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1：论文没有说明这 141 条参考文献是如何识别或筛选的，包括使用的数据库、检索式和纳入标准。请增加一个简短的方法小节，使读者能够判断文献综合的覆盖范围。</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1: We added Section 2.1, “Identification and Selection”, and Section 2.2, “Full-Text Coding and Synthesis”. The methods identify OpenAlex, the retrieval date of 6 August 2026, 32 English queries, the date filter beginning on 1 January 2016, the top-25 retrieval limit per query, and DOI/OpenAlex deduplication, which yielded 571 candidate records. Section 2.1 gives example search strings, relevance criteria, and the roles of citation following and targeted publisher, author-repository and official-source retrieval.</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1：我们新增了第 2.1 节“文献识别与选择”和第 2.2 节“全文编码与综合分析”。方法部分明确了数据库 OpenAlex、检索日期 2026 年 8 月 6 日、32 个英文检索式、从 2016 年 1 月 1 日起的日期筛选条件、每个检索式取前 25 条结果的上限，以及按 DOI 或 OpenAlex 标识符进行去重的方法，共得到 571 条候选记录。第 2.1 节给出了检索式示例、相关性标准，并说明引文追溯以及面向出版商、作者存储库和官方来源的定向检索各自发挥的作用。</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Targeted retrieval covered developments through 25 October 2026. Section 2 distinguishes the final 39-study analytical sample from the 123-reference bibliography: 19 studies address UAV, maritime AIS or underwater applications, 20 provide transferable mechanisms, and the remaining 84 references support context, foundations, standards or evaluation resources. Coding records mechanism claims and their supporting passages and evaluation settings. Section 2 states the purposive selection design and single extraction process; Section 5.4 examines sensitivity to study inclusion and coding choices, and Section 10 discusses the resulting coverage and interpretation limits.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定向检索覆盖了截至 2026 年 10 月 25 日的研究进展。第 2 节区分了最终的 39 篇分析样本与包含 123 条文献的参考文献表：19 篇研究面向 UAV、海事 AIS 或水下应用，20 篇提供可迁移机制，其余 84 条文献支持背景、理论基础、标准或评估资源。编码记录了机制主张、支持段落及评估场景。第 2 节说明目的性选择设计和单次抽取过程；第 5.4 节考察研究纳入和编码选择的敏感性，第 10 节讨论由此产生的覆盖范围与解释边界。</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2: The framework is not applied to the reviewed literature</w:t>
            </w:r>
          </w:p>
          <w:p>
            <w:pPr>
              <w:pStyle w:val="Normal"/>
              <w:keepNext w:val="1"/>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2：框架没有用于所综述的文献。</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This is the main weakness. OAL is presented as a tool to locate mechanisms and identify unprotected transitions, yet Figure 3 is an empty grid and Table 2 lists only representative sources. Please map the reviewed primary studies to OAL cells and lifecycle stages, together with their evidence level (L0–L5). A coverage heatmap could replace Figure 3. It would show where the field is crowded, where it is empty, and where cross-domain evidence is missing. Without it, OAL’s usefulness rests on assertion.</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这是文章的主要不足。OAL 被描述为定位机制和识别未受保护的转换环节的工具，但图 3 是空白网格，表 2 也只列出代表性来源。请将所综述的原始研究映射到 OAL 单元格和生命周期阶段，并标明相应的证据级别（L0—L5）。可以用覆盖热图替换图 3，以显示该领域哪些位置研究密集、哪些位置为空白，以及哪些位置缺少跨域证据。如果没有这样的分析，OAL 的实用性就只是作者的断言。</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2: Figure 3 combines the OAL schematic in panel (a) with a heatmap in panel (b), computed from 89 scoped claims across 39 full-text mechanism studies. Nineteen studies target UAV, maritime AIS or underwater applications; twenty supply transferable mechanisms. Each cell counts distinct studies for an exact object–assurance–stage association, and the L0–L5 summary permits overlapping evidence forms. Section 2 distinguishes intended application domain from actual evaluation setting, and Table 2 identifies the coded study groups and their sources.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2：图 3 的 (a) 部分为 OAL 示意图，(b) 部分为依据 39 篇全文机制研究中 89 条限定范围的主张计算得到的热图。其中，19 篇研究面向 UAV、海事 AIS 或水下应用，20 篇提供可迁移机制。每个单元格统计精确对应某一对象—保障层—阶段组合的不同研究数量，L0—L5 汇总允许证据形式重叠。第 2 节区分了预期应用领域与实际评估场景，表 2 列出了编码研究组及其文献来源。</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Section 5.3 and Table 5 now make OAL’s analytical effect concrete. They distinguish original AIS-message protection from receiver-ledger provenance, physical corroboration from authentication, measured endpoint integrity from task suitability, and replicated-log recovery from dependent-product invalidation. Positive continuity mechanisms are included: UAV trust updates and routing adaptation already connect changed behavior to continued cooperation. One study reports an eight-UAV-node physical experiment, coded L3/L4 for cooperation/path adaptation, with its separate container consensus benchmark kept at L3. Desktop underwater cryptography, terrestrial-data proxy learning and PBFT’s unimplemented view-change path retain narrower evidence scopes. These comparisons identify specific composition requirements without treating every claim in a paper as validated by one prototype.</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第 5.3 节和表 5 具体呈现了 OAL 对分析的作用。它们区分了原始 AIS 消息保护与接收端账本溯源、物理佐证与身份认证、实测端点完整性与任务适用性，以及副本日志恢复与依赖产品失效处理。分析也纳入了已有的连续性保障机制：UAV 信任更新和路由适应已经将行为变化与持续协作联系起来。一篇研究报告了一个由 8 个 UAV 节点构成的实物实验，其协作／路径适应证据编码为 L3/L4，而独立的容器共识基准仍归为 L3。桌面环境中的水下密码学、使用地面数据的代理学习，以及 PBFT 未实现的视图切换路径，都保留了较窄的证据范围。这些比较明确了具体的机制组合要求，同时没有将论文中的每一项主张都视为已由单个原型验证。</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Section 5.4 and Table 6 report inclusion and coding sensitivity. Removing the four generic consensus papers leaves 35 studies, all 25 occupied cells and the same leading cell (D/G/F, 12 studies). The direct-domain stratum instead leads with E/G/A (six studies). We also tested exclusion of conceptual-only work and the proxy-data study, alternative entity/platform identity coding, and removal of each study in turn. Across the 39 leave-one-out analyses, occupancy ranges from 23 to 25 cells and D/G/F remains the leading cell with 15–16 studies. A conservative L3-only classification of the physical-node experiment removes L4 without changing the heatmap. The 71 zero cells denote no coded claim in the sample, rather than 71 established research gaps. Section 10 states the selection and single-extraction limits.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第 5.4 节和表 6 报告了研究纳入与编码选择的敏感性。删除 4 篇通用共识论文后，剩余 35 篇研究仍覆盖全部 25 个非零单元格，数量最多的单元格仍为 D/G/F，包含 12 篇研究。直接应用领域子组中，数量最多的则是 E/G/A，包含 6 篇研究。我们还检验了排除纯概念研究和代理数据研究、采用不同的实体／平台身份编码，以及依次删除每篇研究的影响。在 39 次逐一删除分析中，非零单元格数量介于 23 至 25 个之间，D/G/F 始终最多，包含 15—16 篇研究。将实物节点实验保守地归为 L3 会使 L4 计数归零，但不改变热图。71 个零值单元格表示样本中没有相应编码主张，不能据此确立 71 项研究空白。第 10 节说明了取样和单次抽取的局限。</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3: The need for blockchain is insufficiently justified</w:t>
            </w:r>
          </w:p>
          <w:p>
            <w:pPr>
              <w:pStyle w:val="Normal"/>
              <w:keepNext w:val="1"/>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3：对区块链必要性的论证不足。</w:t>
            </w:r>
          </w:p>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The paper repeatedly concedes that witnessed signed logs or replicated databases may suffice (Sections 7.1, 9.7, 11), but never presents a concrete mission scenario in which a permissioned ledger is demonstrably preferable to an independently witnessed transparency log. Please either construct such a scenario (parties, fault model, which unilateral changes must be prevented) or state plainly that the ledger’s value is confined to specific governance conditions. </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论文反复承认，见证签名日志或副本数据库可能已足够满足需求（第 7.1、9.7、11 节），但从未给出一个具体任务场景，证明许可账本优于独立见证的透明日志。请构建这样的场景，说明参与方、故障模型及必须防止哪些单方面变更；或者明确说明，账本的价值仅限于特定治理条件。</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Section 7.1 should also engage ledger-adoption decision frameworks (Wüst and Gervais, CVCBT 2018; Locher et al., IEEE Blockchain 2018). The discontinuation of TradeLens (Maersk/IBM, 2022) is a directly relevant maritime case of a permissioned platform failing for governance reasons, and it supports the argument in Section 9.3.</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第 7.1 节还应讨论账本采用决策框架（Wüst 和 Gervais，CVCBT 2018；Locher 等，IEEE Blockchain 2018）。TradeLens 的停运（Maersk/IBM，2022）是一个与本文直接相关的海事案例，说明许可平台会因治理原因而失败，也支持第 9.3 节中的论点。</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Consensus selection is likewise treated only illustratively: the paper names Raft and BFT ordering in Fabric and cites three general surveys [87, 88, 107]. The choice should instead follow from a systematic, requirement-driven evaluation (e.g., Švarcmajer et al., BDCC 2026). First, the mission requirements should be derived explicitly: fault model, partition tolerance, finality latency, membership dynamics, node heterogeneity, energy budget, and message complexity over constrained links. Second, a representative range of mechanism families should be assessed against them, not only crash-fault-tolerant and classical BFT ordering, but also pipelined BFT (e.g., HotStuff, CometBFT), authority-based, DAG-based, and lightweight IoT-oriented protocols. The result should be a traceable mapping from requirements to candidate mechanisms for each mission scenario, so that readers can see why a mechanism is suitable rather than merely that it exists.</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共识选型同样只作示例性处理：文章提到了 Fabric 中的 Raft 和 BFT 排序，并引用了 3 篇一般性综述 [87, 88, 107]。选型应当建立在系统性的、由需求驱动的评估之上（例如 Švarcmajer 等，BDCC 2026）。首先，应明确推导任务需求：故障模型、分区容忍能力、最终确定延迟、成员动态变化、节点异构性、能量预算，以及受限链路上的消息复杂度。其次，应针对这些需求评估有代表性的机制类别，不仅包括崩溃容错和经典 BFT 排序，还应包括流水线式 BFT（例如 HotStuff、CometBFT）、基于权威的协议、基于 DAG 的协议，以及面向物联网的轻量级协议。最终应为每个任务场景提供从需求到候选机制的可追溯映射，使读者理解某一机制为何适用，而不仅仅知道它的存在。</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3: Section 7.1 now states explicitly that ledger value is confined to shared-governance conditions. The concrete coalition contains a mission authority, research operator, communications provider and data/audit provider. It identifies the unilateral changes to prevent: policy replacement, removal of acknowledged evidence, and self-approval of a provider’s data. Wüst and Gervais and Locher et al. are now used to frame the adoption decision.</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3：第 7.1 节现已明确说明，账本的价值受共同治理条件限制。具体联盟由任务主管方、科研运营方、通信服务方及数据／审计服务方组成。文中列出了需要防止的单方面变更：替换策略、删除已确认的证据，以及服务方自行批准自身数据。我们现已采用 Wüst 和 Gervais 以及 Locher 等人的框架来组织账本采用决策。</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We adopt the stronger baseline requested in the comment. A consistency-only witness and a policy-validating witness provide different guarantees. With the same independent parties, authorization rule, epoch history and retention, a validating witnessed log can provide the same safety decisions as the modeled ledger. The replay shows this equality. The choice therefore depends on implementation cost, availability and recovery under the required governance conditions.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我们采用了意见中要求的更强基线。仅验证一致性的见证方与执行策略校验的见证方提供不同的保障。在参与方独立性、授权规则、轮次历史和保留条件相同的情况下，执行策略校验的见证日志可作出与所建模账本相同的安全决策，回放结果体现了这一点。因此，选择取决于满足所需治理条件时的实现成本、可用性和恢复能力。</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The TradeLens discontinuation is discussed in Sections 7.1 and 9.1 using Maersk’s announcement. It is treated as evidence about industry collaboration and commercial viability, not as a demonstrated consensus-protocol failure.</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第 7.1 和 9.1 节依据 Maersk 的公告讨论了 TradeLens 停运。我们将其视为有关行业协作和商业可行性的证据，而非已经证实的共识协议失效案例。</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Section 7.2 and Table 9 assess consensus mechanisms against requirements for fault domains, partition behavior, a stated deadline, membership epochs, heterogeneous nodes, power and constrained-link traffic. The analysis covers Raft, classical/SmartBFT, HotStuff, CometBFT, authority-based, DAG-based and IoT-oriented designs. CometBFT is described by its round/vote/gossip protocol, and Narwhal dissemination is distinguished from Tusk ordering. The mapping leads to crash replication for a single operator, Byzantine ordering plus joint application validation (or an equivalent log) for the shore coalition, and local signed records with delayed reconciliation for a disconnected UUV group. Švarcmajer et al. is included as a requirement-driven selection reference.</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第 7.2 节和表 9 根据故障域、分区行为、明确的截止时间、成员轮次、异构节点、电力及受限链路流量要求评估共识机制。分析覆盖 Raft、经典 BFT／SmartBFT、HotStuff、CometBFT、基于权威的机制、基于 DAG 的机制及面向 IoT 的设计。文中按轮次／投票／gossip 协议描述 CometBFT，并区分 Narwhal 的传播机制与 Tusk 的排序机制。映射结果分别对应：单一运营方采用容忍崩溃故障的复制；岸端联盟采用拜占庭排序与联合应用校验，或等效日志；断连 UUV 群采用本地签名记录与延迟协调恢复。文中引用 Švarcmajer 等人的工作作为基于需求进行选型的依据。</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4: Section 7 names Hyperledger Fabric but specifies none of the following:</w:t>
            </w:r>
          </w:p>
          <w:p>
            <w:pPr>
              <w:pStyle w:val="Normal"/>
              <w:keepNext w:val="1"/>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4：第 7 节提到了 Hyperledger Fabric，但没有明确说明以下任何一项：</w:t>
            </w:r>
          </w:p>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the on-chain data model and transaction sizes;</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链上数据模型及交易大小；</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an endorsement policy mapped to the coalition in Section 3.1;</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与第 3.1 节联盟相对应的背书策略；</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chaincode logic for any pattern in Table 7;</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表 7 中任何一种模式的链码逻辑；</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what “verify supported proofs” (line 603) means on a constrained vehicle;</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在资源受限载具上，“验证所支持的证明”（第 603 行）具体意味着什么；</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peer and orderer placement and behavior when the USV gateway is partitioned.</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对等节点和排序节点的部署位置，以及 USV 网关发生网络分区时的行为。</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A communication budget for acoustic links (hundreds of bit/s to a few kbit/s) is also needed. Signature choice alone matters here: an Ed25519 signature is 64 B, whereas an ML-DSA-44 signature is about 2.4 KB. Fully specifying even one pattern would substantially strengthen the paper.</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还需要给出声学链路的通信预算，其速率为每秒数百比特至数千比特。仅签名方案的选择就会产生影响：Ed25519 签名为 64 B，而 ML-DSA-44 签名约为 2.4 KB。即使只完整规定一种模式，也能显著增强论文。</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4: Section 7.3 now specifies one coalition provenance-and-revocation pattern. A–D each host a shore peer and orderer; the USV is a cache/forwarder and the UUV has no consensus vote. The endorsement rule is A AND B AND (C OR D), including governed policy/configuration changes. The text identifies the separate availability constraints of ordering quorum and mandatory application endorsers.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4：第 7.3 节现已明确规定一种联盟溯源与撤销模式。A—D 各部署一个岸端对等节点和一个排序节点；USV 作为缓存／转发节点，UUV 不参与共识投票。背书规则为 A AND B AND (C OR D)，受治理的策略／配置变更也遵循此规则。正文分别指出了排序法定人数与必需应用背书方各自造成的可用性约束。</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The pattern defines state keys and deterministic CommitBatch, JudgeRecord, UpdatePolicy and RevokeKey operations, including read-set validation, idempotent retry, historical key state, event-time revocation and preserved audit judgments. Section 7.3 gives the source-body fields and their widths, totaling 154 bytes. Adding an Ed25519 signature produces a 218-byte record; a signed ten-record batch commitment occupies 220 bytes. We also calculated 525 application bytes for the canonical JSON gateway payload.</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该方案定义了状态键以及 CommitBatch、JudgeRecord、UpdatePolicy 和 RevokeKey 四项确定性操作，涵盖读集验证、幂等重试、历史密钥状态、按事件时间生效的撤销及审计判断保留。第 7.3 节给出了源记录正文的字段及其宽度，总计 154 字节。加入 Ed25519 签名后，记录为 218 字节；包含 10 条记录的签名批次承诺为 220 字节。我们还计算了规范化 JSON 网关载荷，其应用层大小为 525 字节。</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“Verify supported proofs” is replaced by concrete checks: pinned organization/epoch keys, the required distinct signers, signatures, checkpoint sequence, source-record signature, index/count and a four-hash Merkle branch. An application receipt is issued only after a valid Fabric commit and application-state check. The manuscript explicitly distinguishes this jointly attested receipt from native verification of all Fabric execution; ordering inclusion alone is insufficient.</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“验证所支持的证明”已替换为具体检查：固定的组织／纪元公钥、所需的不同签名者、签名、检查点序列、源记录签名、索引／计数，以及包含四个哈希值的 Merkle 分支。只有在 Fabric 有效提交并完成应用状态检查后，才签发应用回执。正文明确区分了这种联合证明回执与对 Fabric 全部执行过程的原生验证；仅证明进入排序记录并不足够。</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Section 7.4 and Table 11 calculate payload serialization at 100, 1000 and 5000 bit/s, including Ed25519 and ML-DSA-44 signature lengths. At 100 bit/s, the 220-byte Ed25519 batch needs at least 17.60 s and the 2576-byte ML-DSA-44 batch 206.08 s; a source record with proof and three-signature receipt is 697 bytes. Propagation, retries, provisioning and transport overhead are identified separately. These values describe application payloads. Full Fabric envelopes add configuration-dependent bytes, while deployment, consensus and acoustic performance require implementation measurements.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第 7.4 节和表 11 根据 Ed25519 与 ML-DSA-44 的签名长度，计算了载荷在 100、1000 和 5000 bit/s 下的串行化时间。在 100 bit/s 下，220 字节的 Ed25519 批次至少需要 17.60 s，2576 字节的 ML-DSA-44 批次需要 206.08 s；包含源记录、证明和三方签名回执的消息为 697 字节。传播、重试、配置和传输开销另行说明。这些数值描述应用层载荷。完整的 Fabric 交易封装会增加与配置有关的字节量，而部署、共识和声学链路性能需要通过实现后的测量确定。</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5: The following bodies of work are directly relevant but absent:</w:t>
            </w:r>
          </w:p>
          <w:p>
            <w:pPr>
              <w:pStyle w:val="Normal"/>
              <w:keepNext w:val="1"/>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5：以下研究领域与本文直接相关，但目前缺失：</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the blockchain oracle problem, which lines 346–347 describe without naming (e.g., Caldarelli, 2020; Al-Breiki et al., 2020);</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区块链预言机问题，第 346—347 行描述了这一问题，却没有明确命名（例如 Caldarelli，2020；Al-Breiki 等，2020）；</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transparency logs as the natural baseline (RFC 6962/9162; Sigstore, CCS 2022);</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作为自然比较基线的透明日志（RFC 6962/9162；Sigstore，CCS 2022）；</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delay/disruption-tolerant networking (RFC 9171, RFC 9172);</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时延／中断容忍网络（RFC 9171、RFC 9172）；</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assurance-case notations, which Section 9.5 effectively reinvents (GSN, SACM, UL 4600);</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保障论证表示法，第 9.5 节实际上重新提出了已有内容（GSN、SACM、UL 4600）；</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MAPE-K and the JDL fusion model, against which the CTG loop should be positioned;</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MAPE-K 和 JDL 融合模型，CTG 循环应对照它们明确自身定位；</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maritime autonomy regulation (IMO MSC.1/Circ.1604 and 1638, the ongoing MASS Code, DNV-CG-0264).</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海事自主航行法规与规范（IMO MSC.1/Circ.1604 和 1638、正在制定中的 MASS Code、DNV-CG-0264）。</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5: The missing bodies of work have been added and connected to the relevant claims. The oracle problem is named in the Introduction and Section 4.3, with Caldarelli and Al-Breiki et al. Transparency logs and signing are discussed through RFC 6962/9162 and Sigstore in Section 4.3 and used in the baseline argument in Section 7.1.</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5：我们已补充缺失的相关研究领域，并将其与相应主张联系起来。引言和第 4.3 节明确命名了预言机问题，并引用 Caldarelli 及 Al-Breiki 等人的研究。第 4.3 节结合 RFC 6962/9162 和 Sigstore 讨论透明日志与签名，并在第 7.1 节将其用于基线论证。</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Section 3.1 connects intermittent contact to Bundle Protocol version 7 and BPSec (RFC 9171/9172), while keeping message delivery separate from authority and freshness. Section 6.3 positions CTG relative to MAPE-K and the JDL fusion model. Section 9.3 maps OAL content to GSN and SACM and distinguishes UL 4600’s safety-case requirements from an argument notation.</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第 3.1 节将间歇性连接与 Bundle Protocol 第 7 版及 BPSec（RFC 9171/9172）联系起来，同时区分消息交付、权限和新鲜度。第 6.3 节对照 MAPE-K 和 JDL 融合模型明确 CTG 的定位。第 9.3 节将 OAL 内容映射到 GSN 和 SACM，并区分 UL 4600 的安全论证要求与论证表示法。</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Section 9.3 also addresses IMO MSC.1/Circ.1604 and 1638, the MASS Code and DNV-CG-0264. The non-mandatory MASS Code was adopted in May 2026 and took effect on 1 July 2026. Its applicability is tied to the actual vessel and operation. These references identify the maritime context and application requirements; conformance requires assessment against the applicable instrument.</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第 9.3 节还讨论了 IMO MSC.1/Circ.1604 和 1638、MASS Code 及 DNV-CG-0264。非强制性 MASS Code 于 2026 年 5 月获通过，并于 2026 年 7 月 1 日生效。其适用性取决于具体船舶和作业。这些文献界定了海事背景与应用要求；符合性仍须依据适用规范进行评估。</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6: The trace in Section 6.4 reduces to freshness and lineage checks whose outcome is evident without OAL, and the ledger plays no role. Please use an example that exercises the blockchain-relevant machinery, such as partition and reconciliation or the revocation-timing case in Section 7.4. The example should also show what a single-score baseline would have concluded.</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6：第 6.4 节的事件追踪归根结底只是新鲜度和谱系检查，即使不使用 OAL，其结果也显而易见，账本在其中没有发挥作用。请使用一个能够实际涉及区块链相关机制的案例，例如分区与协调恢复，或第 7.4 节中的撤销时机案例。该案例还应展示单一评分基线会得出什么结论。</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6: Section 6.4 now exercises partition, shore-side revocation and later reconciliation. The UUV receives at 600 s a key revocation effective at 240 s. Three event intervals ending before, overlapping and starting after that time produce historical eligibility, quarantine and rejection. A decision at 420 s can be locally delegated but retrospectively conflict with global revocation; a decision at 540 s is denied because the local envelope expired at 480 s. This separates event time, local knowledge and audit judgment.</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6：第 6.4 节现已涵盖分区、岸端撤销及后续协调恢复。UUV 在 600 s 时收到一项于 240 s 生效的密钥撤销通知。三个事件时间区间分别结束于该时点之前、与之重叠及开始于该时点之后，从而得到可纳入历史审计、隔离待审和拒绝的结果。420 s 时的决策可以获得本地委托授权，但在事后审计中与全局撤销发生冲突；540 s 时的决策则因本地授权范围已于 480 s 到期而被拒绝。这区分了事件发生时间、本地已知信息和审计判定。</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Table 8 includes the requested scalar comparison. A mean of the same five features yields 0.99, 0.89 and 0.79 and accepts all three at a 0.75 threshold. A veto-aware scalar policy agrees with the structured rule on all outcomes. The result identifies enforcement of temporal authority as the condition that determines the decision.</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表 8 包含了审稿意见要求的标量比较。对相同的 5 个特征取均值，得到 0.99、0.89 和 0.79，在 0.75 的阈值下三条记录均被接受。带有否决规则的标量策略在全部结果上与结构化规则一致。这一结果表明，决定决策的是是否执行时间权限约束。</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We verified the cryptographic bindings and policy rules in a synthetic event replay, including six arrival orders with duplicate delivery and all 16 signer subsets. Sections 7.3–7.4 connect these checks to the specified ledger application and communication budget. The replay tests rule consistency and encoding; it does not measure Fabric or field performance.</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我们通过合成事件回放验证了密码学绑定与策略规则，包括含重复交付的 6 种到达顺序，以及全部 16 种签署者子集。第 7.3—7.4 节将这些检查与具体的账本应用和通信预算相联系。回放检验规则一致性和编码，不测量 Fabric 或现场性能。</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7: Several propositions hold largely by construction. P5 follows from its own fault model, and P1 compares against a baseline that discards information. Please reformulate them so they can fail informatively. For example, P5 could predict under which partition durations or validator counts a ledger outperforms a witnessed transparency log.</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7：若干命题主要因其构造方式而成立。P5 可以直接由自身的故障模型推出，而 P1 使用的比较基线丢弃了信息。请重新表述这些命题，使其在不成立时也能产生有意义的信息。例如，P5 可以预测在哪些分区时长或验证者数量条件下，账本优于见证透明日志。</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7: Section 9.2 reformulates the propositions as comparisons with explicit null or adverse outcomes. P1 now requires a tuned scalar comparator with the same complete evidence, action set, veto rules and tuning budget. It can fail when the comparator performs equally well or better; the worked example explicitly demonstrates an equality case.</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7：第 9.2 节将命题重新表述为比较，并明确无差异或不利结果。P1 现在要求使用经过调优的标量比较对象，并向其提供相同的完整证据、动作集合、否决规则和调优预算。当比较对象表现相同或更好时，命题可能不成立；具体案例已明确展示一个结果相同的情形。</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P5 now compares the ledger with a policy-validating independently witnessed log under matched fault domains, quorum, rules, retention and workload. It varies validator count, partition duration, load and backlog, and tests timely mutually verifiable decisions or recovery completeness at a fixed resource budget. Equal safety with greater ledger cost or lower availability refutes the proposed advantage in that regime.</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P5 现在在故障域、法定人数、规则、保留要求和工作负载相匹配的条件下，将账本与具有策略校验能力的独立见证日志比较。该比较改变验证者数量、分区时长、负载和积压量，并在固定资源预算下检验能否及时产生可相互验证的决策，或实现完整恢复。如果安全性相同，但账本成本更高或可用性更低，则所提出的优势在该运行条件下被否证。</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Section 7.4 supplies an illustrative sensitivity calculation over 63 configurations. With assumed post-contact delays of 2 s and 1 s and a 60 s deadline, the partition limits are 58 s for the ledger path and 59 s for the log path when quorum is reachable. These are explicit scenario assumptions, not measured thresholds. They demonstrate how the comparison can favor the log and define what a subsequent implementation study must measure. P2–P4 and P6 also now state informative failure conditions.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第 7.4 节给出了覆盖 63 种配置的示例性敏感性计算。假设恢复连接后的延迟分别为 2 s 和 1 s，截止期为 60 s，则在能够达到法定人数时，账本路径和日志路径允许的分区时长上限分别为 58 s 和 59 s。这些是明确的场景假设，而非实测阈值。它们说明比较结果可能更有利于日志，并界定后续实现研究必须测量的内容。P2—P4 和 P6 现在也给出了具有信息价值的不成立条件。</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8: Caveats are repeated to the point of obscuring the contributions. For example, the calibration requirement appears at lines 201–204 (twice), 577–581, and 1110–1112. I recommend shortening the manuscript by about 25–30% and consolidating limitations in Section 10, which should be retitled accordingly.</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8：限定说明反复出现，已经掩盖了贡献。例如，校准要求出现在第 201—204 行（两次）、第 577—581 行和第 1110—1112 行。我建议将论文缩短约 25—30%，并将局限性集中到第 10 节，同时相应修改该节标题。</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8: The manuscript has been shortened from approximately 13,389 to 9,570 words using the same source-text counting procedure, a reduction of 28.5%. The estimate excludes the bibliography. We consolidated repeated explanations and qualifications while retaining the full-text mapping, comparative synthesis and sensitivity analyses. The core OAL vocabulary and appraisal/decision distinction are retained.</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8：按相同的源文本统计方法，正文由约 13,389 词缩减至 9,570 词，减少 28.5%，估算不含参考文献。我们整合了重复解释和限定性说明，同时保留全文映射、比较综合与敏感性分析。OAL 的核心术语以及评估与决策之间的区分也予以保留。</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Section 10 is now titled “Limitations” and collects coverage, coding, inference, implementation, cryptographic and transfer limits. The duplicate calibration statement is removed; Section 3.2 states the probabilistic-interpretation requirement once. The discussion and conclusion have been rewritten around the supported synthesis, concrete case and remaining comparative tests.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第 10 节现已更名为“局限性”（Limitations），集中讨论覆盖范围、编码、推断、实现、密码学及应用迁移方面的局限。重复的校准说明已删除；第 3.2 节仅说明一次赋予概率解释所需的条件。讨论与结论已围绕证据支持的综合结果、具体案例及尚待开展的比较测试重新组织。</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Comment 9: There are some minor typos.</w:t>
            </w:r>
          </w:p>
          <w:p>
            <w:pPr>
              <w:pStyle w:val="Normal"/>
              <w:keepNext w:val="1"/>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意见 9：存在一些小的拼写错误。</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Figure typos. Figure 4: “Casual hypotheses”, “degration”, “coexit”. Figure 2: “Suitablity”.</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图中的拼写错误。图 4：“Casual hypotheses”“degration”“coexit”。图 2：“Suitablity”。</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Legibility. Text in Figures 1, 4, 5, and 6 is too small to read. Please enlarge it and export the figures as vector graphics.</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可读性。图 1、4、5 和 6 中的文字太小，难以阅读。请放大文字，并将图导出为矢量图形。</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Figure 7. The photo-realistic illustrations add no information. Please replace them with a schematic and confirm image provenance.</w:t>
            </w:r>
          </w:p>
          <w:p>
            <w:pPr>
              <w:pStyle w:val="Normal"/>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图 7。照片般逼真的插图没有增加信息。请替换为示意图，并确认图像来源。</w:t>
            </w:r>
          </w:p>
        </w:tc>
      </w:tr>
      <w:tr w:rsidR="008F6E5E" w:rsidRPr="00033C8B" w14:paraId="6E13DC40"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    References. The list needs a careful pass, e.g., Ref. 52 should be dated 2002, Ref. 134 has a stray “1”, and several entries contain “Proceedings of the Proceedings”.</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 参考文献。需要仔细检查文献表，例如，第 52 条参考文献的年份应为 2002 年，第 134 条多出了一个“1”，若干条目包含“Proceedings of the Proceedings”的重复表述。</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9: The original figures were prepared in Visio and exported to PDF with vector text and diagram geometry. We have revised the editable source to enlarge labels and improve spacing in Figures 1, 4, 5, and 6 while retaining their original visual structure, and checked the revised exports at their final size in the manuscript. Figure 2 now uses “Mission-use Suitability”; Figure 4 uses “Causal hypotheses”, “Benign degradation” and “Causes may coexist”. Figure 3 retains the OAL schematic alongside the populated coverage heatmap. Figure 5 is placed with the CTG discussion on a text page.</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 9：原始图件使用 Visio 制作，导出的 PDF 包含矢量文字和图形几何元素。我们在保留原有视觉结构的同时，修改了可编辑源文件，放大图 1、4、5 和 6 中的标签并改善间距，并按图在论文中的最终尺寸检查了修订后的导出效果。图 2 现使用“Mission-use Suitability”（任务使用适用性）；图 4 使用“Causal hypotheses”（因果假设）、“Benign degradation”（非恶意退化）和“Causes may coexist”（原因可能共存）。图 3 在原 OAL 示意图旁保留了填入数据的覆盖热图。图 5 与 CTG 讨论文字放在同一正文页面。</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In Figure 7, the six photo-realistic illustrations have been replaced with text-and-box diagrams showing the inputs, reasoning or evaluation, and outputs associated with each evidence form. The six equal panels and category colors are retained. All diagram elements are native Visio text boxes and connecting arrows; no photographic, stock or generated-image assets are used.</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图 7 的 6 幅写实插图已替换为文字框图，展示各类证据对应的输入、推理或评估以及输出。6 个等尺寸面板及其分类配色予以保留。所有图形元素均为原生 Visio 文本框和连接箭头，未使用照片、图库素材或生成式图像。</w:t>
            </w:r>
          </w:p>
        </w:tc>
      </w:tr>
      <w:tr w:rsidR="008F6E5E" w:rsidRPr="00033C8B" w14:paraId="09B9D9E3"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The bibliography contains 123 cited entries. Mui et al. is dated 2002, the stray leading “1” is removed from the Kshetri title, and conference booktitles no longer duplicate “Proceedings of”. The Fabric title and ARCADIAN-IoT print year are corrected. The Varshosaz article is cited by its 2020 journal issue. Section 2 and Table 2 identify the 39 studies used for numerical coding; the remaining references support context, foundations, standards and evaluation resources.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参考文献表包含 123 条实际引用的文献。Mui 等人的文献年份已设为 2002 年；Kshetri 文章标题中多余的前置“1”已删除；会议论文集标题不再重复“Proceedings of”。Fabric 论文标题和 ARCADIAN-IoT 的印刷出版年份已更正。Varshosaz 文章按其 2020 年期刊卷期引用。第 2 节和表 2 明确了用于数值编码的 39 篇研究，其余文献支持背景、理论基础、标准和评估资源。</w:t>
            </w:r>
          </w:p>
        </w:tc>
      </w:tr>
      <w:tr w:rsidR="008F6E5E" w:rsidRPr="00033C8B" w14:paraId="5D02141B"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b/>
                <w:sz w:val="23"/>
                <w:szCs w:val="23"/>
              </w:rPr>
              <w:t xml:space="preserve">4. Response to Comments on the Quality of English Language</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b/>
                <w:rFonts w:ascii="Palatino Linotype" w:hAnsi="Palatino Linotype" w:eastAsia="SimSun" w:cs="Palatino Linotype"/>
                <w:lang w:val="en-US" w:eastAsia="zh-CN"/>
                <w:sz w:val="23"/>
                <w:szCs w:val="23"/>
              </w:rPr>
              <w:t xml:space="preserve">4. 对英语语言质量意见的回复</w:t>
            </w:r>
          </w:p>
        </w:tc>
      </w:tr>
      <w:tr w:rsidR="008F6E5E" w:rsidRPr="00033C8B" w14:paraId="7207E4CC"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sz w:val="23"/>
                <w:szCs w:val="23"/>
              </w:rPr>
              <w:t xml:space="preserve">The English is fine and does not require any improvement.</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rFonts w:ascii="Palatino Linotype" w:hAnsi="Palatino Linotype" w:eastAsia="SimSun" w:cs="Palatino Linotype"/>
                <w:lang w:val="en-US" w:eastAsia="zh-CN"/>
                <w:sz w:val="23"/>
                <w:szCs w:val="23"/>
              </w:rPr>
              <w:t xml:space="preserve">英语表达良好，无需改进。</w:t>
            </w:r>
          </w:p>
        </w:tc>
      </w:tr>
      <w:tr w:rsidR="008F6E5E" w:rsidRPr="00033C8B" w14:paraId="65254A97"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Response: Thank you for this assessment. We have corrected the figure wording and typographical issues identified in Comment 9 and checked terminology for consistency.</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回复：感谢您给予这一评价。我们已修正意见 9 指出的图中文字和拼写问题，并检查了术语的一致性。</w:t>
            </w:r>
          </w:p>
        </w:tc>
      </w:tr>
      <w:tr w:rsidR="008F6E5E" w:rsidRPr="00033C8B" w14:paraId="64323D46"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000000"/>
                <w:b/>
                <w:sz w:val="23"/>
                <w:szCs w:val="23"/>
              </w:rPr>
              <w:t xml:space="preserve">5. Additional clarifications</w:t>
            </w:r>
          </w:p>
          <w:p>
            <w:pPr>
              <w:pStyle w:val="Normal"/>
              <w:keepNext/>
              <w:keepLines/>
              <w:widowControl w:val="1"/>
              <w:wordWrap w:val="0"/>
              <w:snapToGrid w:val="0"/>
              <w:spacing w:before="0" w:after="100" w:line="300" w:lineRule="exact"/>
              <w:rPr>
                <w:rFonts w:ascii="Palatino Linotype" w:hAnsi="Palatino Linotype"/>
                <w:i/>
                <w:iCs/>
                <w:color w:val="FF0000"/>
              </w:rPr>
            </w:pPr>
            <w:r>
              <w:rPr>
                <w:color w:val="000000"/>
                <w:b/>
                <w:rFonts w:ascii="Palatino Linotype" w:hAnsi="Palatino Linotype" w:eastAsia="SimSun" w:cs="Palatino Linotype"/>
                <w:lang w:val="en-US" w:eastAsia="zh-CN"/>
                <w:sz w:val="23"/>
                <w:szCs w:val="23"/>
              </w:rPr>
              <w:t xml:space="preserve">5. 补充说明</w:t>
            </w:r>
          </w:p>
        </w:tc>
      </w:tr>
      <w:tr w:rsidR="008F6E5E" w:rsidRPr="00033C8B" w14:paraId="30B80919" w14:textId="77777777" w:rsidTr="00681CC6">
        <w:trPr>
          <w:cantSplit/>
        </w:trPr>
        <w:tc>
          <w:tcPr>
            <w:tcW w:w="8834" w:type="dxa"/>
            <w:gridSpan w:val="3"/>
          </w:tcPr>
          <w:p>
            <w:pPr>
              <w:pStyle w:val="Normal"/>
              <w:keepNext w:val="1"/>
              <w:keepLines/>
              <w:widowControl w:val="1"/>
              <w:snapToGrid w:val="0"/>
              <w:spacing w:before="0" w:after="60" w:line="300" w:lineRule="exact"/>
              <w:rPr>
                <w:rFonts w:ascii="Palatino Linotype" w:hAnsi="Palatino Linotype"/>
                <w:i/>
                <w:iCs/>
                <w:color w:val="FF0000"/>
              </w:rPr>
            </w:pPr>
            <w:r>
              <w:rPr>
                <w:rFonts w:ascii="Palatino Linotype" w:hAnsi="Palatino Linotype"/>
                <w:color w:val="FF0000"/>
                <w:sz w:val="23"/>
                <w:szCs w:val="23"/>
              </w:rPr>
              <w:t xml:space="preserve">The analytical results concern literature coding, deterministic policy checks and application-byte calculations. Fabric deployment and integrated mission trials are proposed validation steps.</w:t>
            </w:r>
          </w:p>
          <w:p>
            <w:pPr>
              <w:pStyle w:val="Normal"/>
              <w:keepLines/>
              <w:widowControl w:val="1"/>
              <w:wordWrap w:val="0"/>
              <w:snapToGrid w:val="0"/>
              <w:spacing w:before="0" w:after="100" w:line="300" w:lineRule="exact"/>
              <w:rPr>
                <w:rFonts w:ascii="Palatino Linotype" w:hAnsi="Palatino Linotype"/>
                <w:i/>
                <w:iCs/>
                <w:color w:val="FF0000"/>
              </w:rPr>
            </w:pPr>
            <w:r>
              <w:rPr>
                <w:color w:val="FF0000"/>
                <w:rFonts w:ascii="Palatino Linotype" w:hAnsi="Palatino Linotype" w:eastAsia="SimSun" w:cs="Palatino Linotype"/>
                <w:lang w:val="en-US" w:eastAsia="zh-CN"/>
                <w:sz w:val="23"/>
                <w:szCs w:val="23"/>
              </w:rPr>
              <w:t xml:space="preserve">本文的分析结果涉及文献编码、确定性策略检查及应用层字节量计算。Fabric 部署和综合任务试验属于后续验证步骤。</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