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spacing w:before="0" w:after="200" w:line="260" w:lineRule="auto"/>
              <w:widowControl w:val="1"/>
              <w:keepNext/>
              <w:keepLines/>
            </w:pPr>
            <w:r>
              <w:rPr>
                <w:rFonts w:ascii="Palatino Linotype" w:hAnsi="Palatino Linotype"/>
                <w:color w:val="000000"/>
              </w:rPr>
              <w:t xml:space="preserve">Response to Reviewer 2 Comments</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Thank you for reviewing the manuscript. We have applied OAL to 39 full-text mechanism studies, added a partition–revocation–reconciliation case and a specified ledger application, strengthened the witnessed-log comparison and consensus selection, and consolidated the discussion. Section, table and figure references below refer to the revised manuscript.</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pPr>
            <w:r w:rsidRPr="00033C8B">
              <w:rPr>
                <w:rFonts w:ascii="Palatino Linotype" w:hAnsi="Palatino Linotype"/>
                <w:b/>
                <w:bCs/>
              </w:rPr>
              <w:t>2. Questions for General Evaluation</w:t>
            </w:r>
          </w:p>
        </w:tc>
        <w:tc>
          <w:tcPr>
            <w:tcW w:w="2745" w:type="dxa"/>
          </w:tcPr>
          <w:p w14:paraId="1E53D836" w14:textId="77777777" w:rsidR="006418A0" w:rsidRPr="00033C8B" w:rsidRDefault="006418A0" w:rsidP="00681CC6">
            <w:pPr>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tc>
        <w:tc>
          <w:tcPr>
            <w:tcW w:w="2176" w:type="dxa"/>
          </w:tcPr>
          <w:p w14:paraId="119A62F1" w14:textId="77777777" w:rsidR="006418A0" w:rsidRPr="00033C8B" w:rsidRDefault="006418A0" w:rsidP="00681CC6">
            <w:pPr>
              <w:rPr>
                <w:rFonts w:ascii="Palatino Linotype" w:hAnsi="Palatino Linotype"/>
                <w:b/>
                <w:bCs/>
              </w:rPr>
            </w:pPr>
            <w:r w:rsidRPr="00033C8B">
              <w:rPr>
                <w:rFonts w:ascii="Palatino Linotype" w:hAnsi="Palatino Linotype"/>
                <w:b/>
                <w:bCs/>
              </w:rPr>
              <w:t>Response and Revisions</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a significant contribution to the field?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2–4 for the evidence map and specified application.</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well organized and comprehensively described?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 8 for shortening and consolidated limitations.</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scientifically sound and not misleading?</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3, 6 and 7 for stronger comparisons and falsifiable claims.</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Are there appropriate and adequate references to related and previous work?</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1, 5 and 9 for methods, positioning and reference corrections.</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English used correct and readable?</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English is fine and does not require any improvement.</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The wording and typographical issues in Comment 9 have been corrected.</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3. Point-by-point response to Comments and Suggestions for Authors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1: The paper gives no information on how the 141 references were identified or selected (databases, search strings, inclusion criteria). Please add a brief methods subsection so that readers can judge the coverage of the synthesis.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1: We added Section 2.1, “Identification and Selection”, and Section 2.2, “Full-Text Coding and Synthesis”. The methods identify OpenAlex, the retrieval date of 6 August 2026, 32 English queries, the date filter beginning on 1 January 2016, the top-25 retrieval limit per query, and DOI/OpenAlex deduplication, which yielded 571 candidate records. Section 2.1 gives example search strings, relevance criteria, and the roles of citation following and targeted publisher, author-repository and official-source retrieval.</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Targeted retrieval covered developments through 25 October 2026. Section 2 distinguishes the final 39-study analytical sample from the 123-reference bibliography: 19 studies address UAV, maritime AIS or underwater applications, 20 provide transferable mechanisms, and the remaining 84 references support context, foundations, standards or evaluation resources. Coding records mechanism claims and their supporting passages and evaluation settings. Section 2 states the purposive selection design and single extraction process; Section 5.4 examines sensitivity to study inclusion and coding choices, and Section 10 discusses the resulting coverage and interpretation limits.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keepNext w:val="1"/>
            </w:pPr>
            <w:r>
              <w:rPr>
                <w:rFonts w:ascii="Palatino Linotype" w:hAnsi="Palatino Linotype"/>
                <w:color w:val="000000"/>
                <w:sz w:val="23"/>
                <w:szCs w:val="23"/>
              </w:rPr>
              <w:t xml:space="preserve">Comment 2: The framework is not applied to the reviewed literature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This is the main weakness. OAL is presented as a tool to locate mechanisms and identify unprotected transitions, yet Figure 3 is an empty grid and Table 2 lists only representative sources. Please map the reviewed primary studies to OAL cells and lifecycle stages, together with their evidence level (L0–L5). A coverage heatmap could replace Figure 3. It would show where the field is crowded, where it is empty, and where cross-domain evidence is missing. Without it, OAL’s usefulness rests on assertion.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2: Figure 3 combines the OAL schematic in panel (a) with a heatmap in panel (b), computed from 89 scoped claims across 39 full-text mechanism studies. Nineteen studies target UAV, maritime AIS or underwater applications; twenty supply transferable mechanisms. Each cell counts distinct studies for an exact object–assurance–stage association, and the L0–L5 summary permits overlapping evidence forms. Section 2 distinguishes intended application domain from actual evaluation setting, and Table 2 identifies the coded study groups and their sources.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5.3 and Table 5 now make OAL’s analytical effect concrete. They distinguish original AIS-message protection from receiver-ledger provenance, physical corroboration from authentication, measured endpoint integrity from task suitability, and replicated-log recovery from dependent-product invalidation. Positive continuity mechanisms are included: UAV trust updates and routing adaptation already connect changed behavior to continued cooperation. One study reports an eight-UAV-node physical experiment, coded L3/L4 for cooperation/path adaptation, with its separate container consensus benchmark kept at L3. Desktop underwater cryptography, terrestrial-data proxy learning and PBFT’s unimplemented view-change path retain narrower evidence scopes. These comparisons identify specific composition requirements without treating every claim in a paper as validated by one prototype.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5.4 and Table 6 report inclusion and coding sensitivity. Removing the four generic consensus papers leaves 35 studies, all 25 occupied cells and the same leading cell (D/G/F, 12 studies). The direct-domain stratum instead leads with E/G/A (six studies). We also tested exclusion of conceptual-only work and the proxy-data study, alternative entity/platform identity coding, and removal of each study in turn. Across the 39 leave-one-out analyses, occupancy ranges from 23 to 25 cells and D/G/F remains the leading cell with 15–16 studies. A conservative L3-only classification of the physical-node experiment removes L4 without changing the heatmap. The 71 zero cells denote no coded claim in the sample, rather than 71 established research gaps. Section 10 states the selection and single-extraction limits.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keepNext w:val="1"/>
            </w:pPr>
            <w:r>
              <w:rPr>
                <w:rFonts w:ascii="Palatino Linotype" w:hAnsi="Palatino Linotype"/>
                <w:color w:val="000000"/>
                <w:sz w:val="23"/>
                <w:szCs w:val="23"/>
              </w:rPr>
              <w:t xml:space="preserve">Comment 3: The need for blockchain is insufficiently justified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paper repeatedly concedes that witnessed signed logs or replicated databases may suffice (Sections 7.1, 9.7, 11), but never presents a concrete mission scenario in which a permissioned ledger is demonstrably preferable to an independently witnessed transparency log. Please either construct such a scenario (parties, fault model, which unilateral changes must be prevented) or state plainly that the ledger’s value is confined to specific governance conditions. </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Section 7.1 should also engage ledger-adoption decision frameworks (Wüst and Gervais, CVCBT 2018; Locher et al., IEEE Blockchain 2018). The discontinuation of TradeLens (Maersk/IBM, 2022) is a directly relevant maritime case of a permissioned platform failing for governance reasons, and it supports the argument in Section 9.3.</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Consensus selection is likewise treated only illustratively: the paper names Raft and BFT ordering in Fabric and cites three general surveys [87, 88, 107]. The choice should instead follow from a systematic, requirement-driven evaluation (e.g., Švarcmajer et al., BDCC 2026). First, the mission requirements should be derived explicitly: fault model, partition tolerance, finality latency, membership dynamics, node heterogeneity, energy budget, and message complexity over constrained links. Second, a representative range of mechanism families should be assessed against them, not only crash-fault-tolerant and classical BFT ordering, but also pipelined BFT (e.g., HotStuff, CometBFT), authority-based, DAG-based, and lightweight IoT-oriented protocols. The result should be a traceable mapping from requirements to candidate mechanisms for each mission scenario, so that readers can see why a mechanism is suitable rather than merely that it exists.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3: Section 7.1 now states explicitly that ledger value is confined to shared-governance conditions. The concrete coalition contains a mission authority, research operator, communications provider and data/audit provider. It identifies the unilateral changes to prevent: policy replacement, removal of acknowledged evidence, and self-approval of a provider’s data. Wüst and Gervais and Locher et al. are now used to frame the adoption decision.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We adopt the stronger baseline requested in the comment. A consistency-only witness and a policy-validating witness provide different guarantees. With the same independent parties, authorization rule, epoch history and retention, a validating witnessed log can provide the same safety decisions as the modeled ledger. The replay shows this equality. The choice therefore depends on implementation cost, availability and recovery under the required governance conditions.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TradeLens discontinuation is discussed in Sections 7.1 and 9.1 using Maersk’s announcement. It is treated as evidence about industry collaboration and commercial viability, not as a demonstrated consensus-protocol failure.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7.2 and Table 9 assess consensus mechanisms against requirements for fault domains, partition behavior, a stated deadline, membership epochs, heterogeneous nodes, power and constrained-link traffic. The analysis covers Raft, classical/SmartBFT, HotStuff, CometBFT, authority-based, DAG-based and IoT-oriented designs. CometBFT is described by its round/vote/gossip protocol, and Narwhal dissemination is distinguished from Tusk ordering. The mapping leads to crash replication for a single operator, Byzantine ordering plus joint application validation (or an equivalent log) for the shore coalition, and local signed records with delayed reconciliation for a disconnected UUV group. Švarcmajer et al. is included as a requirement-driven selection reference.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keepNext w:val="1"/>
            </w:pPr>
            <w:r>
              <w:rPr>
                <w:rFonts w:ascii="Palatino Linotype" w:hAnsi="Palatino Linotype"/>
                <w:color w:val="000000"/>
                <w:sz w:val="23"/>
                <w:szCs w:val="23"/>
              </w:rPr>
              <w:t xml:space="preserve">Comment 4: Section 7 names Hyperledger Fabric but specifies none of the following:</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on-chain data model and transaction sizes;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an endorsement policy mapped to the coalition in Section 3.1;</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chaincode logic for any pattern in Table 7;</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what “verify supported proofs” (line 603) means on a constrained vehicle;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peer and orderer placement and behavior when the USV gateway is partitioned.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A communication budget for acoustic links (hundreds of bit/s to a few kbit/s) is also needed. Signature choice alone matters here: an Ed25519 signature is 64 B, whereas an ML-DSA-44 signature is about 2.4 KB. Fully specifying even one pattern would substantially strengthen the paper.</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4: Section 7.3 now specifies one coalition provenance-and-revocation pattern. A–D each host a shore peer and orderer; the USV is a cache/forwarder and the UUV has no consensus vote. The endorsement rule is A AND B AND (C OR D), including governed policy/configuration changes. The text identifies the separate availability constraints of ordering quorum and mandatory application endorsers.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pattern defines state keys and deterministic CommitBatch, JudgeRecord, UpdatePolicy and RevokeKey operations, including read-set validation, idempotent retry, historical key state, event-time revocation and preserved audit judgments. Section 7.3 gives the source-body fields and their widths, totaling 154 bytes. Adding an Ed25519 signature produces a 218-byte record; a signed ten-record batch commitment occupies 220 bytes. We also calculated 525 application bytes for the canonical JSON gateway payload.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“Verify supported proofs” is replaced by concrete checks: pinned organization/epoch keys, the required distinct signers, signatures, checkpoint sequence, source-record signature, index/count and a four-hash Merkle branch. An application receipt is issued only after a valid Fabric commit and application-state check. The manuscript explicitly distinguishes this jointly attested receipt from native verification of all Fabric execution; ordering inclusion alone is insufficient.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and Table 11 calculate payload serialization at 100, 1000 and 5000 bit/s, including Ed25519 and ML-DSA-44 signature lengths. At 100 bit/s, the 220-byte Ed25519 batch needs at least 17.60 s and the 2576-byte ML-DSA-44 batch 206.08 s; a source record with proof and three-signature receipt is 697 bytes. Propagation, retries, provisioning and transport overhead are identified separately. These values describe application payloads. Full Fabric envelopes add configuration-dependent bytes, while deployment, consensus and acoustic performance require implementation measurements.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keepNext w:val="1"/>
            </w:pPr>
            <w:r>
              <w:rPr>
                <w:rFonts w:ascii="Palatino Linotype" w:hAnsi="Palatino Linotype"/>
                <w:color w:val="000000"/>
                <w:sz w:val="23"/>
                <w:szCs w:val="23"/>
              </w:rPr>
              <w:t xml:space="preserve">Comment 5: The following bodies of work are directly relevant but absent: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blockchain oracle problem, which lines 346–347 describe without naming (e.g., Caldarelli, 2020; Al-Breiki et al., 2020);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transparency logs as the natural baseline (RFC 6962/9162; Sigstore, CCS 2022);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delay/disruption-tolerant networking (RFC 9171, RFC 9172);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assurance-case notations, which Section 9.5 effectively reinvents (GSN, SACM, UL 4600);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MAPE-K and the JDL fusion model, against which the CTG loop should be positioned;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maritime autonomy regulation (IMO MSC.1/Circ.1604 and 1638, the ongoing MASS Code, DNV-CG-0264).</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5: The missing bodies of work have been added and connected to the relevant claims. The oracle problem is named in the Introduction and Section 4.3, with Caldarelli and Al-Breiki et al. Transparency logs and signing are discussed through RFC 6962/9162 and Sigstore in Section 4.3 and used in the baseline argument in Section 7.1.</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3.1 connects intermittent contact to Bundle Protocol version 7 and BPSec (RFC 9171/9172), while keeping message delivery separate from authority and freshness. Section 6.3 positions CTG relative to MAPE-K and the JDL fusion model. Section 9.3 maps OAL content to GSN and SACM and distinguishes UL 4600’s safety-case requirements from an argument notation.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9.3 also addresses IMO MSC.1/Circ.1604 and 1638, the MASS Code and DNV-CG-0264. The non-mandatory MASS Code was adopted in May 2026 and took effect on 1 July 2026. Its applicability is tied to the actual vessel and operation. These references identify the maritime context and application requirements; conformance requires assessment against the applicable instrument.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6: The trace in Section 6.4 reduces to freshness and lineage checks whose outcome is evident without OAL, and the ledger plays no role. Please use an example that exercises the blockchain-relevant machinery, such as partition and reconciliation or the revocation-timing case in Section 7.4. The example should also show what a single-score baseline would have concluded.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6: Section 6.4 now exercises partition, shore-side revocation and later reconciliation. The UUV receives at 600 s a key revocation effective at 240 s. Three event intervals ending before, overlapping and starting after that time produce historical eligibility, quarantine and rejection. A decision at 420 s can be locally delegated but retrospectively conflict with global revocation; a decision at 540 s is denied because the local envelope expired at 480 s. This separates event time, local knowledge and audit judgment.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Table 8 includes the requested scalar comparison. A mean of the same five features yields 0.99, 0.89 and 0.79 and accepts all three at a 0.75 threshold. A veto-aware scalar policy agrees with the structured rule on all outcomes. The result identifies enforcement of temporal authority as the condition that determines the decision.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We verified the cryptographic bindings and policy rules in a synthetic event replay, including six arrival orders with duplicate delivery and all 16 signer subsets. Sections 7.3–7.4 connect these checks to the specified ledger application and communication budget. The replay tests rule consistency and encoding; it does not measure Fabric or field performance.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7: Several propositions hold largely by construction. P5 follows from its own fault model, and P1 compares against a baseline that discards information. Please reformulate them so they can fail informatively. For example, P5 could predict under which partition durations or validator counts a ledger outperforms a witnessed transparency log.</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7: Section 9.2 reformulates the propositions as comparisons with explicit null or adverse outcomes. P1 now requires a tuned scalar comparator with the same complete evidence, action set, veto rules and tuning budget. It can fail when the comparator performs equally well or better; the worked example explicitly demonstrates an equality case.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P5 now compares the ledger with a policy-validating independently witnessed log under matched fault domains, quorum, rules, retention and workload. It varies validator count, partition duration, load and backlog, and tests timely mutually verifiable decisions or recovery completeness at a fixed resource budget. Equal safety with greater ledger cost or lower availability refutes the proposed advantage in that regime.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supplies an illustrative sensitivity calculation over 63 configurations. With assumed post-contact delays of 2 s and 1 s and a 60 s deadline, the partition limits are 58 s for the ledger path and 59 s for the log path when quorum is reachable. These are explicit scenario assumptions, not measured thresholds. They demonstrate how the comparison can favor the log and define what a subsequent implementation study must measure. P2–P4 and P6 also now state informative failure conditions.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8: Caveats are repeated to the point of obscuring the contributions. For example, the calibration requirement appears at lines 201–204 (twice), 577–581, and 1110–1112. I recommend shortening the manuscript by about 25–30% and consolidating limitations in Section 10, which should be retitled accordingly.</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8: The manuscript has been shortened from approximately 13,389 to 9,570 words using the same source-text counting procedure, a reduction of 28.5%. The estimate excludes the bibliography. We consolidated repeated explanations and qualifications while retaining the full-text mapping, comparative synthesis and sensitivity analyses. The core OAL vocabulary and appraisal/decision distinction are retained.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10 is now titled “Limitations” and collects coverage, coding, inference, implementation, cryptographic and transfer limits. The duplicate calibration statement is removed; Section 3.2 states the probabilistic-interpretation requirement once. The discussion and conclusion have been rewritten around the supported synthesis, concrete case and remaining comparative tests.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keepNext w:val="1"/>
            </w:pPr>
            <w:r>
              <w:rPr>
                <w:rFonts w:ascii="Palatino Linotype" w:hAnsi="Palatino Linotype"/>
                <w:color w:val="000000"/>
                <w:sz w:val="23"/>
                <w:szCs w:val="23"/>
              </w:rPr>
              <w:t xml:space="preserve">Comment 9: There are some minor typos.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typos. Figure 4: “Casual hypotheses”, “degration”, “coexit”. Figure 2: “Suitablity”.</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Legibility. Text in Figures 1, 4, 5, and 6 is too small to read. Please enlarge it and export the figures as vector graphics.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7. The photo-realistic illustrations add no information. Please replace them with a schematic and confirm image provenance.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References. The list needs a careful pass, e.g., Ref. 52 should be dated 2002, Ref. 134 has a stray “1”, and several entries contain “Proceedings of the Proceedings”.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9: The original figures were prepared in Visio and exported to PDF with vector text and diagram geometry. We have revised the editable source to enlarge labels and improve spacing in Figures 1, 4, 5, and 6 while retaining their original visual structure, and checked the revised exports at their final size in the manuscript. Figure 2 now uses “Mission-use Suitability”; Figure 4 uses “Causal hypotheses”, “Benign degradation” and “Causes may coexist”. Figure 3 retains the OAL schematic alongside the populated coverage heatmap. Figure 5 is placed with the CTG discussion on a text page.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In Figure 7, the six photo-realistic illustrations have been replaced with text-and-box diagrams showing the inputs, reasoning or evaluation, and outputs associated with each evidence form. The six equal panels and category colors are retained. All diagram elements are native Visio text boxes and connecting arrows; no photographic, stock or generated-image assets are used.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bibliography contains 123 cited entries. Mui et al. is dated 2002, the stray leading “1” is removed from the Kshetri title, and conference booktitles no longer duplicate “Proceedings of”. The Fabric title and ARCADIAN-IoT print year are corrected. The Varshosaz article is cited by its 2020 journal issue. Section 2 and Table 2 identify the 39 studies used for numerical coding; the remaining references support context, foundations, standards and evaluation resources.</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4. Response to Comments on the Quality of English Language</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The English is fine and does not require any improvement.</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Thank you for this assessment. We have corrected the figure wording and typographical issues identified in Comment 9 and checked terminology for consistency.</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5. Additional clarifications</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analytical results concern literature coding, deterministic policy checks and application-byte calculations. Fabric deployment and integrated mission trials are proposed validation steps.</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