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erif CJK SC" w:hAnsi="Noto Serif CJK SC" w:eastAsia="Noto Serif CJK SC"/>
          <w:b/>
          <w:color w:val="123B66"/>
          <w:sz w:val="48"/>
        </w:rPr>
        <w:t>关于开展电力供需形势预测工作的</w:t>
        <w:br/>
        <w:t>整体方案</w:t>
      </w:r>
    </w:p>
    <w:p>
      <w:pPr>
        <w:spacing w:before="360"/>
        <w:jc w:val="center"/>
      </w:pPr>
      <w:r>
        <w:rPr>
          <w:rFonts w:ascii="AR PL KaitiM GB" w:hAnsi="AR PL KaitiM GB" w:eastAsia="AR PL KaitiM GB"/>
          <w:b w:val="0"/>
          <w:color w:val="60758A"/>
          <w:sz w:val="30"/>
        </w:rPr>
        <w:t>（重构稿 V0.2 完整稿）</w:t>
      </w:r>
    </w:p>
    <w:p>
      <w:pPr>
        <w:spacing w:before="3000"/>
        <w:jc w:val="center"/>
      </w:pPr>
      <w:r>
        <w:rPr>
          <w:rFonts w:ascii="Noto Serif CJK SC" w:hAnsi="Noto Serif CJK SC" w:eastAsia="Noto Serif CJK SC"/>
          <w:b w:val="0"/>
          <w:sz w:val="32"/>
        </w:rPr>
        <w:t>中电联统计与数智部电力供需分析处</w:t>
      </w:r>
    </w:p>
    <w:p>
      <w:pPr>
        <w:spacing w:before="240"/>
        <w:jc w:val="center"/>
      </w:pPr>
      <w:r>
        <w:rPr>
          <w:rFonts w:ascii="Noto Serif CJK SC" w:hAnsi="Noto Serif CJK SC" w:eastAsia="Noto Serif CJK SC"/>
          <w:b w:val="0"/>
          <w:sz w:val="32"/>
        </w:rPr>
        <w:t>2026年7月</w:t>
      </w:r>
    </w:p>
    <w:p>
      <w:r>
        <w:br w:type="page"/>
      </w:r>
    </w:p>
    <w:p>
      <w:pPr>
        <w:spacing w:after="400"/>
        <w:jc w:val="center"/>
      </w:pPr>
      <w:r>
        <w:rPr>
          <w:rFonts w:ascii="Noto Sans CJK SC" w:hAnsi="Noto Sans CJK SC" w:eastAsia="Noto Sans CJK SC"/>
          <w:b/>
          <w:color w:val="123B66"/>
          <w:sz w:val="36"/>
        </w:rPr>
        <w:t>目  录</w:t>
      </w:r>
    </w:p>
    <w:p>
      <w:pPr>
        <w:spacing w:line="480" w:lineRule="exact"/>
        <w:ind w:firstLine="0" w:left="680"/>
      </w:pPr>
      <w:r>
        <w:rPr>
          <w:rFonts w:ascii="Noto Serif CJK SC" w:hAnsi="Noto Serif CJK SC" w:eastAsia="Noto Serif CJK SC"/>
          <w:b w:val="0"/>
          <w:sz w:val="28"/>
        </w:rPr>
        <w:t>工作摘要</w:t>
      </w:r>
    </w:p>
    <w:p>
      <w:pPr>
        <w:spacing w:line="480" w:lineRule="exact"/>
        <w:ind w:firstLine="0" w:left="680"/>
      </w:pPr>
      <w:r>
        <w:rPr>
          <w:rFonts w:ascii="Noto Serif CJK SC" w:hAnsi="Noto Serif CJK SC" w:eastAsia="Noto Serif CJK SC"/>
          <w:b w:val="0"/>
          <w:sz w:val="28"/>
        </w:rPr>
        <w:t>一、建设背景与形势判断</w:t>
      </w:r>
    </w:p>
    <w:p>
      <w:pPr>
        <w:spacing w:line="480" w:lineRule="exact"/>
        <w:ind w:firstLine="0" w:left="680"/>
      </w:pPr>
      <w:r>
        <w:rPr>
          <w:rFonts w:ascii="Noto Serif CJK SC" w:hAnsi="Noto Serif CJK SC" w:eastAsia="Noto Serif CJK SC"/>
          <w:b w:val="0"/>
          <w:sz w:val="28"/>
        </w:rPr>
        <w:t>二、总体定位与建设思路</w:t>
      </w:r>
    </w:p>
    <w:p>
      <w:pPr>
        <w:spacing w:line="480" w:lineRule="exact"/>
        <w:ind w:firstLine="0" w:left="680"/>
      </w:pPr>
      <w:r>
        <w:rPr>
          <w:rFonts w:ascii="Noto Serif CJK SC" w:hAnsi="Noto Serif CJK SC" w:eastAsia="Noto Serif CJK SC"/>
          <w:b w:val="0"/>
          <w:sz w:val="28"/>
        </w:rPr>
        <w:t>三、业务体系与重点场景</w:t>
      </w:r>
    </w:p>
    <w:p>
      <w:pPr>
        <w:spacing w:line="480" w:lineRule="exact"/>
        <w:ind w:firstLine="0" w:left="680"/>
      </w:pPr>
      <w:r>
        <w:rPr>
          <w:rFonts w:ascii="Noto Serif CJK SC" w:hAnsi="Noto Serif CJK SC" w:eastAsia="Noto Serif CJK SC"/>
          <w:b w:val="0"/>
          <w:sz w:val="28"/>
        </w:rPr>
        <w:t>四、能力支撑体系</w:t>
      </w:r>
    </w:p>
    <w:p>
      <w:pPr>
        <w:spacing w:line="480" w:lineRule="exact"/>
        <w:ind w:firstLine="0" w:left="680"/>
      </w:pPr>
      <w:r>
        <w:rPr>
          <w:rFonts w:ascii="Noto Serif CJK SC" w:hAnsi="Noto Serif CJK SC" w:eastAsia="Noto Serif CJK SC"/>
          <w:b w:val="0"/>
          <w:sz w:val="28"/>
        </w:rPr>
        <w:t>五、平台与系统能力建设</w:t>
      </w:r>
    </w:p>
    <w:p>
      <w:pPr>
        <w:spacing w:line="480" w:lineRule="exact"/>
        <w:ind w:firstLine="0" w:left="680"/>
      </w:pPr>
      <w:r>
        <w:rPr>
          <w:rFonts w:ascii="Noto Serif CJK SC" w:hAnsi="Noto Serif CJK SC" w:eastAsia="Noto Serif CJK SC"/>
          <w:b w:val="0"/>
          <w:sz w:val="28"/>
        </w:rPr>
        <w:t>六、组织机制与实施路径</w:t>
      </w:r>
    </w:p>
    <w:p>
      <w:pPr>
        <w:spacing w:line="480" w:lineRule="exact"/>
        <w:ind w:firstLine="0" w:left="680"/>
      </w:pPr>
      <w:r>
        <w:rPr>
          <w:rFonts w:ascii="Noto Serif CJK SC" w:hAnsi="Noto Serif CJK SC" w:eastAsia="Noto Serif CJK SC"/>
          <w:b w:val="0"/>
          <w:sz w:val="28"/>
        </w:rPr>
        <w:t>七、资源保障与风险控制</w:t>
      </w:r>
    </w:p>
    <w:p>
      <w:pPr>
        <w:spacing w:line="480" w:lineRule="exact"/>
        <w:ind w:firstLine="0" w:left="680"/>
      </w:pPr>
      <w:r>
        <w:rPr>
          <w:rFonts w:ascii="Noto Serif CJK SC" w:hAnsi="Noto Serif CJK SC" w:eastAsia="Noto Serif CJK SC"/>
          <w:b w:val="0"/>
          <w:sz w:val="28"/>
        </w:rPr>
        <w:t>八、需请领导审定事项</w:t>
      </w:r>
    </w:p>
    <w:p>
      <w:pPr>
        <w:spacing w:line="480" w:lineRule="exact"/>
        <w:ind w:firstLine="0" w:left="1020"/>
      </w:pPr>
      <w:r>
        <w:rPr>
          <w:rFonts w:ascii="Noto Serif CJK SC" w:hAnsi="Noto Serif CJK SC" w:eastAsia="Noto Serif CJK SC"/>
          <w:b w:val="0"/>
          <w:sz w:val="27"/>
        </w:rPr>
        <w:t>附件一  首期核心指标清单</w:t>
      </w:r>
    </w:p>
    <w:p>
      <w:pPr>
        <w:spacing w:line="480" w:lineRule="exact"/>
        <w:ind w:firstLine="0" w:left="1020"/>
      </w:pPr>
      <w:r>
        <w:rPr>
          <w:rFonts w:ascii="Noto Serif CJK SC" w:hAnsi="Noto Serif CJK SC" w:eastAsia="Noto Serif CJK SC"/>
          <w:b w:val="0"/>
          <w:sz w:val="27"/>
        </w:rPr>
        <w:t>附件二  数据资源及责任清单</w:t>
      </w:r>
    </w:p>
    <w:p>
      <w:pPr>
        <w:spacing w:line="480" w:lineRule="exact"/>
        <w:ind w:firstLine="0" w:left="1020"/>
      </w:pPr>
      <w:r>
        <w:rPr>
          <w:rFonts w:ascii="Noto Serif CJK SC" w:hAnsi="Noto Serif CJK SC" w:eastAsia="Noto Serif CJK SC"/>
          <w:b w:val="0"/>
          <w:sz w:val="27"/>
        </w:rPr>
        <w:t>附件三  平台功能、模型能力及验收清单</w:t>
      </w:r>
    </w:p>
    <w:p>
      <w:r>
        <w:br w:type="page"/>
      </w:r>
    </w:p>
    <w:p>
      <w:pPr>
        <w:pStyle w:val="Heading1"/>
        <w:jc w:val="center"/>
      </w:pPr>
      <w:r>
        <w:rPr>
          <w:rFonts w:ascii="Noto Sans CJK SC" w:hAnsi="Noto Sans CJK SC" w:eastAsia="Noto Sans CJK SC"/>
          <w:b/>
          <w:color w:val="123B66"/>
          <w:sz w:val="36"/>
        </w:rPr>
        <w:t>工作摘要</w:t>
      </w:r>
    </w:p>
    <w:p>
      <w:r>
        <w:t>为进一步提升中电联电力供需形势分析预测工作的系统化、数字化、智能化水平，统计与数智部电力供需分析处拟在既有行业统计、运行分析、专家会商和报告发布基础上，牵头构建面向全国、覆盖多时间尺度、支撑多类业务场景的电力供需形势预测能力体系。该项工作以提升中电联行业研判、政策咨询、保供会商和会员服务能力为目标，统筹业务规则、数据资源、预测分析、成果生产和运行机制建设，推动现有工作由分散支撑向体系化能力升级。</w:t>
      </w:r>
    </w:p>
    <w:p>
      <w:r>
        <w:t>当前，电力供需形势研判的对象、周期和影响因素发生深刻变化。新能源装机占比持续提高，跨省跨区交易和绿电交易规模不断扩大，需求响应、虚拟电厂、储能、电动汽车等新型资源加快参与系统运行，极端天气和重大事件对电力保供的影响更加突出。供需分析已由电量、负荷、装机等传统指标研判，拓展至有效供给能力、区域互济、灵活调节、市场交易和风险概率等综合判断，工作频率进一步向月度滚动、重点时段专题和事件化预警延伸。</w:t>
      </w:r>
    </w:p>
    <w:p>
      <w:r>
        <w:t>中电联长期承担电力行业统计、运行分析、供需形势研判和行业报告发布等工作，形成了较为稳定的统计报表、月度分析、季度会商、年度预测和专题研究机制，具备统一行业口径、组织多方协同、汇集专家意见和形成权威成果的工作基础。统计与数智部电力供需分析处掌握行业统计口径和供需分析逻辑，能够统筹业务需求、预测研判和成果发布，是推进该项工作的牵头主体。</w:t>
      </w:r>
    </w:p>
    <w:p>
      <w:r>
        <w:t>本项工作定位为中电联行业级电力供需形势预测与预警公共能力建设。首期聚焦全国月度与季度供需形势分析、年度供需形势预测报告自动化两项核心场景，形成稳定的数据链路、统一的指标口径、可复盘的预测结果和规范的报告生产流程；后续有序拓展重点时段预警和专题分析场景，逐步形成“预测—预警—评估—建议”一体化业务体系。</w:t>
      </w:r>
    </w:p>
    <w:p>
      <w:r>
        <w:rPr>
          <w:rFonts w:ascii="Noto Serif CJK SC" w:hAnsi="Noto Serif CJK SC" w:eastAsia="Noto Serif CJK SC"/>
          <w:b w:val="0"/>
          <w:sz w:val="28"/>
        </w:rPr>
        <w:t>能力建设按照夯基启动、一期成型、能力扩展和深化运行四个阶段推进。建立领导统筹、处室牵头、专班推进、专家支撑和外部协同的组织机制，统筹数据、模型、平台、安全和成果发布工作。需请领导重点审定工作定位、牵头机制、首期建设范围、资源摸底、外部协同和分阶段推进安排。</w:t>
      </w:r>
    </w:p>
    <w:p>
      <w:pPr>
        <w:pStyle w:val="Heading1"/>
      </w:pPr>
      <w:r>
        <w:rPr>
          <w:rFonts w:ascii="Noto Sans CJK SC" w:hAnsi="Noto Sans CJK SC" w:eastAsia="Noto Sans CJK SC"/>
          <w:b/>
          <w:color w:val="123B66"/>
          <w:sz w:val="36"/>
        </w:rPr>
        <w:t>一、建设背景与形势判断</w:t>
      </w:r>
    </w:p>
    <w:p>
      <w:r>
        <w:t>电力供需形势预测是把握行业运行态势、支撑政策制定、服务保供会商和引导市场预期的重要基础工作。随着新型电力系统加快建设，传统以统计数据和经验分析为主的工作方式面临新的业务要求。中电联需要依托现有行业统计和分析基础，进一步整合业务规则、数据资源、预测方法和成果生产机制，形成与行业发展阶段相适应的预测能力体系。</w:t>
      </w:r>
    </w:p>
    <w:p>
      <w:pPr>
        <w:pStyle w:val="Heading2"/>
      </w:pPr>
      <w:r>
        <w:rPr>
          <w:rFonts w:ascii="Noto Sans CJK SC" w:hAnsi="Noto Sans CJK SC" w:eastAsia="Noto Sans CJK SC"/>
          <w:b/>
          <w:sz w:val="32"/>
        </w:rPr>
        <w:t>（一）电力供需形势研判的复杂性显著提升</w:t>
      </w:r>
    </w:p>
    <w:p>
      <w:r>
        <w:t>电力供需平衡的影响因素由相对稳定的电量、负荷、装机和利用小时，逐步扩展到新能源有效出力、跨省跨区交易、需求响应、虚拟电厂、储能、电动汽车、气象变化和市场规则等多维变量。2025年，全国全社会用电量达到103682亿千瓦时，电力市场交易电量占全社会用电量比重达到64.0%，可再生能源装机约占全国电力总装机的60%。电力供需规模持续扩大，电源结构、负荷特征和资源配置方式加快变化，供需平衡由总量判断进一步延伸到结构、区域、时段和风险判断。</w:t>
      </w:r>
    </w:p>
    <w:p>
      <w:r>
        <w:t>新能源高比例接入增加了供给侧波动性。装机规模已难以直接反映关键时段的实际供给能力，风光出力受气象条件影响显著，来水、燃料、机组检修和跨区通道约束也会对可用容量产生影响。供给研判需要更加关注有效容量、可信出力区间、备用空间和区域互济条件。</w:t>
      </w:r>
    </w:p>
    <w:p>
      <w:r>
        <w:t>需求侧结构变化增加了负荷预测难度。高温寒潮、节假日错位、产业结构调整、数据中心和充换电设施投运等因素，可能在较短时间内改变负荷形态。需求响应、虚拟电厂和用户侧储能等资源逐步具备调节能力，需求侧已由单一负荷对象向负荷需求和调节资源并存转变。</w:t>
      </w:r>
    </w:p>
    <w:p>
      <w:r>
        <w:t>全国统一电力市场建设持续推进，跨省跨区交易、绿电交易、中长期交易、现货交易和辅助服务等市场机制对资源配置和区域平衡的影响不断增强。供需形势分析需要同步观察物理平衡、交易互济和市场信号，准确区分装机能力、可用能力、合同安排和实际互济之间的关系。</w:t>
      </w:r>
    </w:p>
    <w:p>
      <w:r>
        <w:t>上述变化推动供需预测由单点结论向区间判断、概率分析和情景推演延伸，由年度趋势判断向季度校核、月度滚动和重点时段专题延伸，成果形态也由单一报告拓展为风险清单、区域图谱、专题专报、指标服务和会商支撑。</w:t>
      </w:r>
    </w:p>
    <w:p>
      <w:pPr>
        <w:pStyle w:val="Heading2"/>
      </w:pPr>
      <w:r>
        <w:rPr>
          <w:rFonts w:ascii="Noto Sans CJK SC" w:hAnsi="Noto Sans CJK SC" w:eastAsia="Noto Sans CJK SC"/>
          <w:b/>
          <w:sz w:val="32"/>
        </w:rPr>
        <w:t>（二）中电联具备推进能力建设的良好基础</w:t>
      </w:r>
    </w:p>
    <w:p>
      <w:r>
        <w:t>中电联长期开展电力行业统计、运行分析、供需形势研判和报告发布，形成了覆盖月度、季度和年度的工作机制。现有统计报表、年报会审、月度分析、季度形势会商、年度供需预测和重点专题研究，为统一指标口径、积累历史序列、识别行业变化和形成专业判断提供了较为扎实的基础。</w:t>
      </w:r>
    </w:p>
    <w:p>
      <w:r>
        <w:t>中电联具有连接政府部门、会员企业、专业机构和社会公众的行业组织优势，能够协调电网企业、发电集团、电力交易机构、地方协会和相关专业力量，共同开展数据核实、形势会商和专题研究。行业组织属性有利于汇集不同主体信息、协调多方口径并形成相对客观的公共研判成果。</w:t>
      </w:r>
    </w:p>
    <w:p>
      <w:r>
        <w:t>统计与数智部电力供需分析处长期承担供需形势分析预测工作，熟悉统计制度、指标口径、报告逻辑和发布流程，能够将行业经验、专家研判和数据分析相结合。现有工作已经形成稳定的业务周期和成果载体，为进一步建设数据支撑、预测分析、报告生产和复盘改进能力提供了明确的业务入口。</w:t>
      </w:r>
    </w:p>
    <w:p>
      <w:r>
        <w:t>中电联近年来持续推进数据资源整合、数字化平台建设和人工智能应用探索，具备将统计分析工作与数据治理、模型分析和智能辅助相结合的条件。通过统筹现有系统、数据和专业力量，可以在已有基础上形成增量能力，避免脱离业务另起体系。</w:t>
      </w:r>
    </w:p>
    <w:p>
      <w:pPr>
        <w:pStyle w:val="Heading2"/>
      </w:pPr>
      <w:r>
        <w:rPr>
          <w:rFonts w:ascii="Noto Sans CJK SC" w:hAnsi="Noto Sans CJK SC" w:eastAsia="Noto Sans CJK SC"/>
          <w:b/>
          <w:sz w:val="32"/>
        </w:rPr>
        <w:t>（三）现有工作需要由分散支撑向体系化能力升级</w:t>
      </w:r>
    </w:p>
    <w:p>
      <w:r>
        <w:t>现有供需形势分析预测工作能够支撑常规报告和行业研判，但与建设行业级公共预测与预警能力的要求相比，仍需在业务规则、数据基础、预测分析、成果生产和协同机制等方面进一步完善。</w:t>
      </w:r>
    </w:p>
    <w:p>
      <w:pPr>
        <w:pStyle w:val="CompactList"/>
      </w:pPr>
      <w:r>
        <w:rPr>
          <w:rFonts w:ascii="Noto Serif CJK SC" w:hAnsi="Noto Serif CJK SC" w:eastAsia="Noto Serif CJK SC"/>
          <w:b/>
          <w:sz w:val="28"/>
        </w:rPr>
        <w:t>一是业务对象和分析尺度需要统一衔接。</w:t>
      </w:r>
      <w:r>
        <w:rPr>
          <w:rFonts w:ascii="Noto Serif CJK SC" w:hAnsi="Noto Serif CJK SC" w:eastAsia="Noto Serif CJK SC"/>
          <w:b w:val="0"/>
          <w:sz w:val="28"/>
        </w:rPr>
        <w:t>月度、季度、年度和重点时段分析使用的数据频率、判断对象和成果口径存在差异，需要形成覆盖总量、结构、区域和风险的统一业务框架，明确不同时间尺度之间的衔接关系。</w:t>
      </w:r>
    </w:p>
    <w:p>
      <w:pPr>
        <w:pStyle w:val="CompactList"/>
      </w:pPr>
      <w:r>
        <w:rPr>
          <w:rFonts w:ascii="Noto Serif CJK SC" w:hAnsi="Noto Serif CJK SC" w:eastAsia="Noto Serif CJK SC"/>
          <w:b/>
          <w:sz w:val="28"/>
        </w:rPr>
        <w:t>二是数据资源需要形成稳定、可信的供给机制。</w:t>
      </w:r>
      <w:r>
        <w:rPr>
          <w:rFonts w:ascii="Noto Serif CJK SC" w:hAnsi="Noto Serif CJK SC" w:eastAsia="Noto Serif CJK SC"/>
          <w:b w:val="0"/>
          <w:sz w:val="28"/>
        </w:rPr>
        <w:t>现有统计数据基础较好，高频负荷、气象、交易和新型主体数据仍需分步协调。部分指标存在来源、口径、发布时间和历史修订差异，需要统一数据目录、指标口径和版本管理规则。</w:t>
      </w:r>
    </w:p>
    <w:p>
      <w:pPr>
        <w:pStyle w:val="CompactList"/>
      </w:pPr>
      <w:r>
        <w:rPr>
          <w:rFonts w:ascii="Noto Serif CJK SC" w:hAnsi="Noto Serif CJK SC" w:eastAsia="Noto Serif CJK SC"/>
          <w:b/>
          <w:sz w:val="28"/>
        </w:rPr>
        <w:t>三是预测分析需要形成可复用、可解释、可复盘的能力。</w:t>
      </w:r>
      <w:r>
        <w:rPr>
          <w:rFonts w:ascii="Noto Serif CJK SC" w:hAnsi="Noto Serif CJK SC" w:eastAsia="Noto Serif CJK SC"/>
          <w:b w:val="0"/>
          <w:sz w:val="28"/>
        </w:rPr>
        <w:t>现有分析较多依赖人工汇总和专家经验，模型、数据和报告之间尚未形成稳定衔接。面对极端天气、政策调整和结构变化，需要形成基准预测、情景分析、专家修正和误差复盘相结合的工作机制。</w:t>
      </w:r>
    </w:p>
    <w:p>
      <w:pPr>
        <w:pStyle w:val="CompactList"/>
      </w:pPr>
      <w:r>
        <w:rPr>
          <w:rFonts w:ascii="Noto Serif CJK SC" w:hAnsi="Noto Serif CJK SC" w:eastAsia="Noto Serif CJK SC"/>
          <w:b/>
          <w:sz w:val="28"/>
        </w:rPr>
        <w:t>四是成果生产需要提升标准化和自动化水平。</w:t>
      </w:r>
      <w:r>
        <w:rPr>
          <w:rFonts w:ascii="Noto Serif CJK SC" w:hAnsi="Noto Serif CJK SC" w:eastAsia="Noto Serif CJK SC"/>
          <w:b w:val="0"/>
          <w:sz w:val="28"/>
        </w:rPr>
        <w:t>月报、季报、年报和专题专报涉及大量数据归集、图表更新、文字编排和审校流转，重复性工作较多。需要沉淀指标、图表、章节和结论模板，减少机械性加工，提高分析人员对关键判断和政策建议的投入。</w:t>
      </w:r>
    </w:p>
    <w:p>
      <w:pPr>
        <w:pStyle w:val="CompactList"/>
      </w:pPr>
      <w:r>
        <w:rPr>
          <w:rFonts w:ascii="Noto Serif CJK SC" w:hAnsi="Noto Serif CJK SC" w:eastAsia="Noto Serif CJK SC"/>
          <w:b/>
          <w:sz w:val="28"/>
        </w:rPr>
        <w:t>五是跨部门、跨主体协同需要形成常态化机制。</w:t>
      </w:r>
      <w:r>
        <w:rPr>
          <w:rFonts w:ascii="Noto Serif CJK SC" w:hAnsi="Noto Serif CJK SC" w:eastAsia="Noto Serif CJK SC"/>
          <w:b w:val="0"/>
          <w:sz w:val="28"/>
        </w:rPr>
        <w:t>供需预测涉及统计、业务、数据、模型、平台、安全和发布等多个环节，需要明确牵头主体、责任分工、会商审校和发布管理规则，保障数据按期到位、结论统一形成、成果规范使用。</w:t>
      </w:r>
    </w:p>
    <w:p>
      <w:pPr>
        <w:pStyle w:val="Heading2"/>
      </w:pPr>
      <w:r>
        <w:rPr>
          <w:rFonts w:ascii="Noto Sans CJK SC" w:hAnsi="Noto Sans CJK SC" w:eastAsia="Noto Sans CJK SC"/>
          <w:b/>
          <w:sz w:val="32"/>
        </w:rPr>
        <w:t>（四）建设行业级预测能力体系已具备现实条件</w:t>
      </w:r>
    </w:p>
    <w:p>
      <w:r>
        <w:t>综合行业发展趋势、中电联职责定位和现有工作基础，电力供需形势预测已经进入由单项工作优化向能力体系建设转变的新阶段。建设重点应围绕业务规则统一、数据可信使用、预测研判协同、成果高效生产和运行机制完善展开，将既有统计分析优势转化为稳定、可持续的行业公共服务能力。</w:t>
      </w:r>
    </w:p>
    <w:p>
      <w:r>
        <w:t>能力建设应突出中电联的行业组织和公共服务属性，重点服务国家部委决策咨询、行业运行分析、重点时段保供会商和会员单位服务。预测成果强调客观、稳健、可解释和可追溯，保持与调度运行、市场出清和企业经营决策等专业边界的合理衔接。</w:t>
      </w:r>
    </w:p>
    <w:p>
      <w:r>
        <w:t>首期建设具备明确业务入口和可交付成果。全国月度与季度供需形势分析、年度供需形势预测报告均为中电联持续开展的核心工作，数据基础相对成熟、业务流程较为清晰、成果使用需求稳定，适合作为能力体系建设的起点。通过首期形成稳定闭环，再逐步拓展重点时段预警和专题分析，可以控制建设风险，提高成果实效。</w:t>
      </w:r>
    </w:p>
    <w:p>
      <w:r>
        <w:t>总体看，启动电力供需形势预测能力体系建设具有较强的现实必要性、良好的工作基础和清晰的实施路径，有利于提升中电联行业研判和公共服务水平，进一步增强在电力运行分析、政策咨询和行业协调中的专业影响力。</w:t>
      </w:r>
    </w:p>
    <w:p>
      <w:r>
        <w:br w:type="page"/>
      </w:r>
    </w:p>
    <w:p>
      <w:pPr>
        <w:pStyle w:val="Heading1"/>
      </w:pPr>
      <w:r>
        <w:rPr>
          <w:rFonts w:ascii="Noto Sans CJK SC" w:hAnsi="Noto Sans CJK SC" w:eastAsia="Noto Sans CJK SC"/>
          <w:b/>
          <w:color w:val="123B66"/>
          <w:sz w:val="36"/>
        </w:rPr>
        <w:t>二、总体定位与建设思路</w:t>
      </w:r>
    </w:p>
    <w:p>
      <w:r>
        <w:t>围绕中电联电力供需形势分析预测职责，统筹现有业务基础和后续发展需要，明确能力建设定位、总体目标、工作主线、建设原则和首期范围，为业务体系设计、支撑能力建设和实施推进提供统一依据。</w:t>
      </w:r>
    </w:p>
    <w:p>
      <w:pPr>
        <w:pStyle w:val="Heading2"/>
      </w:pPr>
      <w:r>
        <w:rPr>
          <w:rFonts w:ascii="Noto Sans CJK SC" w:hAnsi="Noto Sans CJK SC" w:eastAsia="Noto Sans CJK SC"/>
          <w:b/>
          <w:sz w:val="32"/>
        </w:rPr>
        <w:t>（一）建设面向行业的电力供需形势预测与预警公共能力</w:t>
      </w:r>
    </w:p>
    <w:p>
      <w:r>
        <w:t>本项工作定位为中电联行业级电力供需形势预测与预警公共能力建设。依托中电联行业统计、运行分析、组织协调和报告发布基础，面向全国及重点区域，建立覆盖多时间尺度、多层级对象和多类应用场景的供需形势研判能力，为国家部委决策咨询、行业运行分析、重点时段保供会商、会员单位服务和中电联内部管理提供专业支撑。</w:t>
      </w:r>
    </w:p>
    <w:p>
      <w:r>
        <w:t>该项能力突出行业公共属性和专业研判属性，重点形成统一口径下的趋势判断、风险识别、情景分析和政策建议。对涉及调度运行、市场交易、企业经营和敏感主体的内容，依据数据授权和成果发布要求确定分析颗粒度和使用范围，确保专业边界清晰、成果使用规范。</w:t>
      </w:r>
    </w:p>
    <w:p>
      <w:r>
        <w:t>能力建设以中电联现有供需分析工作为主线，推动统计、数据、模型、报告和会商环节贯通，形成能够持续运行、定期更新、人工审校和复盘改进的工作体系。平台、模型和智能工具均服务于业务能力提升，其建设规模和技术复杂度根据业务需求、数据条件和使用成效分步确定。</w:t>
      </w:r>
    </w:p>
    <w:p>
      <w:pPr>
        <w:pStyle w:val="Heading2"/>
      </w:pPr>
      <w:r>
        <w:rPr>
          <w:rFonts w:ascii="Noto Sans CJK SC" w:hAnsi="Noto Sans CJK SC" w:eastAsia="Noto Sans CJK SC"/>
          <w:b/>
          <w:sz w:val="32"/>
        </w:rPr>
        <w:t>（二）形成覆盖研判、预警、评估和服务的综合能力</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814"/>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3"/>
              </w:rPr>
              <w:t>目标维度</w:t>
            </w:r>
          </w:p>
        </w:tc>
        <w:tc>
          <w:tcPr>
            <w:tcW w:type="dxa" w:w="4535"/>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3"/>
              </w:rPr>
              <w:t>建设目标</w:t>
            </w:r>
          </w:p>
        </w:tc>
        <w:tc>
          <w:tcPr>
            <w:tcW w:type="dxa" w:w="2948"/>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3"/>
              </w:rPr>
              <w:t>主要体现</w:t>
            </w:r>
          </w:p>
        </w:tc>
      </w:tr>
      <w:tr>
        <w:trPr>
          <w:cantSplit/>
        </w:trPr>
        <w:tc>
          <w:tcPr>
            <w:tcW w:type="dxa" w:w="1814"/>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业务研判能力</w:t>
            </w:r>
          </w:p>
        </w:tc>
        <w:tc>
          <w:tcPr>
            <w:tcW w:type="dxa" w:w="4535"/>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建立覆盖需求、供给、平衡、市场、调节和风险因素的分析框架，形成全国、区域和重点领域多层级研判能力。</w:t>
            </w:r>
          </w:p>
        </w:tc>
        <w:tc>
          <w:tcPr>
            <w:tcW w:type="dxa" w:w="2948"/>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年度判断、季度校核、月度滚动和重点时段专题分析相互衔接。</w:t>
            </w:r>
          </w:p>
        </w:tc>
      </w:tr>
      <w:tr>
        <w:trPr>
          <w:cantSplit/>
        </w:trPr>
        <w:tc>
          <w:tcPr>
            <w:tcW w:type="dxa" w:w="1814"/>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预测预警能力</w:t>
            </w:r>
          </w:p>
        </w:tc>
        <w:tc>
          <w:tcPr>
            <w:tcW w:type="dxa" w:w="4535"/>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提升对用电需求、最大负荷、供给能力、区域平衡和重点风险的预测识别水平。</w:t>
            </w:r>
          </w:p>
        </w:tc>
        <w:tc>
          <w:tcPr>
            <w:tcW w:type="dxa" w:w="2948"/>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形成基准预测、区间判断、情景比较和风险等级。</w:t>
            </w:r>
          </w:p>
        </w:tc>
      </w:tr>
      <w:tr>
        <w:trPr>
          <w:cantSplit/>
        </w:trPr>
        <w:tc>
          <w:tcPr>
            <w:tcW w:type="dxa" w:w="1814"/>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成果生产能力</w:t>
            </w:r>
          </w:p>
        </w:tc>
        <w:tc>
          <w:tcPr>
            <w:tcW w:type="dxa" w:w="4535"/>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完善数据归集、图表生成、文字编排、审校发布和版本归档流程。</w:t>
            </w:r>
          </w:p>
        </w:tc>
        <w:tc>
          <w:tcPr>
            <w:tcW w:type="dxa" w:w="2948"/>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月报、季报、年报和专题专报稳定形成，成果可追溯、可复盘。</w:t>
            </w:r>
          </w:p>
        </w:tc>
      </w:tr>
      <w:tr>
        <w:trPr>
          <w:cantSplit/>
        </w:trPr>
        <w:tc>
          <w:tcPr>
            <w:tcW w:type="dxa" w:w="1814"/>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决策服务能力</w:t>
            </w:r>
          </w:p>
        </w:tc>
        <w:tc>
          <w:tcPr>
            <w:tcW w:type="dxa" w:w="4535"/>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将预测结果转化为行业判断、风险提示和政策建议。</w:t>
            </w:r>
          </w:p>
        </w:tc>
        <w:tc>
          <w:tcPr>
            <w:tcW w:type="dxa" w:w="2948"/>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支撑领导决策、部委沟通、行业会商和会员服务。</w:t>
            </w:r>
          </w:p>
        </w:tc>
      </w:tr>
      <w:tr>
        <w:trPr>
          <w:cantSplit/>
        </w:trPr>
        <w:tc>
          <w:tcPr>
            <w:tcW w:type="dxa" w:w="1814"/>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持续改进能力</w:t>
            </w:r>
          </w:p>
        </w:tc>
        <w:tc>
          <w:tcPr>
            <w:tcW w:type="dxa" w:w="4535"/>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建立数据质量反馈、预测误差分析、专家复盘和规则更新机制。</w:t>
            </w:r>
          </w:p>
        </w:tc>
        <w:tc>
          <w:tcPr>
            <w:tcW w:type="dxa" w:w="2948"/>
            <w:vAlign w:val="center"/>
            <w:tcMar>
              <w:top w:w="80" w:type="dxa"/>
              <w:start w:w="90" w:type="dxa"/>
              <w:bottom w:w="80" w:type="dxa"/>
              <w:end w:w="90" w:type="dxa"/>
            </w:tcMar>
          </w:tcPr>
          <w:p>
            <w:pPr>
              <w:spacing w:line="400" w:lineRule="exact"/>
              <w:ind w:firstLine="0"/>
              <w:jc w:val="both"/>
            </w:pPr>
            <w:r>
              <w:rPr>
                <w:rFonts w:ascii="Noto Serif CJK SC" w:hAnsi="Noto Serif CJK SC" w:eastAsia="Noto Serif CJK SC"/>
                <w:b w:val="0"/>
                <w:sz w:val="22"/>
              </w:rPr>
              <w:t>业务口径、数据资源、预测方法和成果模板持续优化。</w:t>
            </w:r>
          </w:p>
        </w:tc>
      </w:tr>
    </w:tbl>
    <w:p>
      <w:pPr>
        <w:pStyle w:val="Heading2"/>
      </w:pPr>
      <w:r>
        <w:rPr>
          <w:rFonts w:ascii="Noto Sans CJK SC" w:hAnsi="Noto Sans CJK SC" w:eastAsia="Noto Sans CJK SC"/>
          <w:b/>
          <w:sz w:val="32"/>
        </w:rPr>
        <w:t>（三）按照业务闭环统筹推进能力建设</w:t>
      </w:r>
    </w:p>
    <w:p>
      <w:r>
        <w:t>总体工作按照“统一业务规则、夯实数据基础、开展预测研判、形成成果产品、持续复盘改进”的闭环推进。各环节围绕既有供需分析工作衔接，避免将数据、模型或平台建设割裂推进。</w:t>
      </w:r>
    </w:p>
    <w:p>
      <w:r>
        <w:t>统一业务规则。明确预测对象、时间尺度、指标口径、分析层级、成果类型和发布边界，形成各类报告和专题分析共同遵循的业务框架，为数据归集、预测分析和成果审校提供统一标准。</w:t>
      </w:r>
    </w:p>
    <w:p>
      <w:r>
        <w:t>夯实数据基础。围绕核心业务逐步明确数据来源、更新频率、质量要求、授权范围和责任主体，优先保障现有统计数据稳定使用，分步补充交易、气象、负荷和新型主体数据，为预测研判提供持续、可信的数据支撑。</w:t>
      </w:r>
    </w:p>
    <w:p>
      <w:r>
        <w:t>开展预测研判。将统计分析、模型预测和专家判断有机结合，形成基准结果、情景结果、风险提示和原因解释。模型结果作为专家研判的重要输入，预测结论通过会商审校和发布审核形成。</w:t>
      </w:r>
    </w:p>
    <w:p>
      <w:r>
        <w:t>形成成果产品。根据不同服务对象和业务周期，形成月度分析、季度形势判断、年度预测报告、重点时段专报、风险清单和可视化成果，推动预测能力转化为可使用、可传播、可复盘的行业服务产品。</w:t>
      </w:r>
    </w:p>
    <w:p>
      <w:r>
        <w:t>持续复盘改进。跟踪实际数据和成果使用反馈，定期分析预测误差、数据问题和口径变化，更新业务规则、数据资源、预测方法和成果模板，形成长期运行机制。</w:t>
      </w:r>
    </w:p>
    <w:p>
      <w:pPr>
        <w:pStyle w:val="Heading2"/>
      </w:pPr>
      <w:r>
        <w:rPr>
          <w:rFonts w:ascii="Noto Sans CJK SC" w:hAnsi="Noto Sans CJK SC" w:eastAsia="Noto Sans CJK SC"/>
          <w:b/>
          <w:sz w:val="32"/>
        </w:rPr>
        <w:t>（四）坚持业务牵引、稳健建设和安全运行</w:t>
      </w:r>
    </w:p>
    <w:p>
      <w:pPr>
        <w:pStyle w:val="CompactList"/>
      </w:pPr>
      <w:r>
        <w:rPr>
          <w:rFonts w:ascii="Noto Serif CJK SC" w:hAnsi="Noto Serif CJK SC" w:eastAsia="Noto Serif CJK SC"/>
          <w:b/>
          <w:sz w:val="28"/>
        </w:rPr>
        <w:t>一是坚持业务牵引。</w:t>
      </w:r>
      <w:r>
        <w:rPr>
          <w:rFonts w:ascii="Noto Serif CJK SC" w:hAnsi="Noto Serif CJK SC" w:eastAsia="Noto Serif CJK SC"/>
          <w:b w:val="0"/>
          <w:sz w:val="28"/>
        </w:rPr>
        <w:t>围绕中电联供需形势分析、行业发布、政策咨询和会员服务职责配置建设内容，以业务流程和成果需求确定数据、模型和系统能力。</w:t>
      </w:r>
    </w:p>
    <w:p>
      <w:pPr>
        <w:pStyle w:val="CompactList"/>
      </w:pPr>
      <w:r>
        <w:rPr>
          <w:rFonts w:ascii="Noto Serif CJK SC" w:hAnsi="Noto Serif CJK SC" w:eastAsia="Noto Serif CJK SC"/>
          <w:b/>
          <w:sz w:val="28"/>
        </w:rPr>
        <w:t>二是坚持统一规范。</w:t>
      </w:r>
      <w:r>
        <w:rPr>
          <w:rFonts w:ascii="Noto Serif CJK SC" w:hAnsi="Noto Serif CJK SC" w:eastAsia="Noto Serif CJK SC"/>
          <w:b w:val="0"/>
          <w:sz w:val="28"/>
        </w:rPr>
        <w:t>统一指标口径、地区行业编码、时间尺度、成果模板和发布流程，保持不同层级、不同周期预测结果的衔接一致。</w:t>
      </w:r>
    </w:p>
    <w:p>
      <w:pPr>
        <w:pStyle w:val="CompactList"/>
      </w:pPr>
      <w:r>
        <w:rPr>
          <w:rFonts w:ascii="Noto Serif CJK SC" w:hAnsi="Noto Serif CJK SC" w:eastAsia="Noto Serif CJK SC"/>
          <w:b/>
          <w:sz w:val="28"/>
        </w:rPr>
        <w:t>三是坚持场景先行。</w:t>
      </w:r>
      <w:r>
        <w:rPr>
          <w:rFonts w:ascii="Noto Serif CJK SC" w:hAnsi="Noto Serif CJK SC" w:eastAsia="Noto Serif CJK SC"/>
          <w:b w:val="0"/>
          <w:sz w:val="28"/>
        </w:rPr>
        <w:t>从现有职责清晰、数据基础较好、成果需求稳定的核心场景切入，通过实际运行检验和完善能力体系。</w:t>
      </w:r>
    </w:p>
    <w:p>
      <w:pPr>
        <w:pStyle w:val="CompactList"/>
      </w:pPr>
      <w:r>
        <w:rPr>
          <w:rFonts w:ascii="Noto Serif CJK SC" w:hAnsi="Noto Serif CJK SC" w:eastAsia="Noto Serif CJK SC"/>
          <w:b/>
          <w:sz w:val="28"/>
        </w:rPr>
        <w:t>四是坚持稳健可释。</w:t>
      </w:r>
      <w:r>
        <w:rPr>
          <w:rFonts w:ascii="Noto Serif CJK SC" w:hAnsi="Noto Serif CJK SC" w:eastAsia="Noto Serif CJK SC"/>
          <w:b w:val="0"/>
          <w:sz w:val="28"/>
        </w:rPr>
        <w:t>突出预测结果的稳定性、可解释性和可复盘性，合理运用模型和智能工具，重大结论坚持专家会商和人工审校。</w:t>
      </w:r>
    </w:p>
    <w:p>
      <w:pPr>
        <w:pStyle w:val="CompactList"/>
      </w:pPr>
      <w:r>
        <w:rPr>
          <w:rFonts w:ascii="Noto Serif CJK SC" w:hAnsi="Noto Serif CJK SC" w:eastAsia="Noto Serif CJK SC"/>
          <w:b/>
          <w:sz w:val="28"/>
        </w:rPr>
        <w:t>五是坚持安全合规。</w:t>
      </w:r>
      <w:r>
        <w:rPr>
          <w:rFonts w:ascii="Noto Serif CJK SC" w:hAnsi="Noto Serif CJK SC" w:eastAsia="Noto Serif CJK SC"/>
          <w:b w:val="0"/>
          <w:sz w:val="28"/>
        </w:rPr>
        <w:t>落实数据分类分级、授权管理、用途限定、访问控制和发布审核要求，规范敏感数据使用和成果对外发布。</w:t>
      </w:r>
    </w:p>
    <w:p>
      <w:pPr>
        <w:pStyle w:val="CompactList"/>
      </w:pPr>
      <w:r>
        <w:rPr>
          <w:rFonts w:ascii="Noto Serif CJK SC" w:hAnsi="Noto Serif CJK SC" w:eastAsia="Noto Serif CJK SC"/>
          <w:b/>
          <w:sz w:val="28"/>
        </w:rPr>
        <w:t>六是坚持分步推进。</w:t>
      </w:r>
      <w:r>
        <w:rPr>
          <w:rFonts w:ascii="Noto Serif CJK SC" w:hAnsi="Noto Serif CJK SC" w:eastAsia="Noto Serif CJK SC"/>
          <w:b w:val="0"/>
          <w:sz w:val="28"/>
        </w:rPr>
        <w:t>根据数据条件、业务需求和建设成效逐步扩展预测层级、时间频率和应用场景，形成投入与产出相匹配的建设节奏。</w:t>
      </w:r>
    </w:p>
    <w:p>
      <w:pPr>
        <w:pStyle w:val="Heading2"/>
      </w:pPr>
      <w:r>
        <w:rPr>
          <w:rFonts w:ascii="Noto Sans CJK SC" w:hAnsi="Noto Sans CJK SC" w:eastAsia="Noto Sans CJK SC"/>
          <w:b/>
          <w:sz w:val="32"/>
        </w:rPr>
        <w:t>（五）首期聚焦两项核心场景和基础业务闭环</w:t>
      </w:r>
    </w:p>
    <w:p>
      <w:r>
        <w:t>首期建设坚持范围清晰、成果可用、流程可运行，聚焦全国月度与季度供需形势分析、年度供需形势预测报告自动化两项核心场景，优先解决现有工作中的数据归集、口径校核、预测分析、报告生产、审校发布和误差复盘问题。</w:t>
      </w:r>
    </w:p>
    <w:p>
      <w:r>
        <w:t>业务范围方面，建立全国月度与季度供需总盘，重点开展用电需求、发电供给、装机结构、区域平衡、市场交易和气象影响分析；在年度报告工作中，贯通年度数据底稿、图表模板、章节编排、结论审校和版本归档。</w:t>
      </w:r>
    </w:p>
    <w:p>
      <w:r>
        <w:t>成果范围方面，形成月度供需形势分析报告、季度供需形势分析报告、年度报告自动化原型、核心指标看板、风险清单、预测修订说明和误差复盘记录。首期成果以支撑中电联内部分析、领导决策和行业沟通为主，逐步完善面向会员单位和合作机构的服务形态。</w:t>
      </w:r>
    </w:p>
    <w:p>
      <w:r>
        <w:t>能力边界方面，首期以月度、季度和年度分析为主要频率，以全国和重点区域为主要层级，以汇总级、低敏感数据为主要基础。日前、日内和调度级实时预警，高敏感明细数据全量汇聚，复杂深度模型全面部署，以及对外接口规模化开放，结合后续数据授权、系统条件和实际需求分阶段推进。</w:t>
      </w:r>
    </w:p>
    <w:p>
      <w:r>
        <w:t>通过首期建设，形成能够按月稳定运行、按季滚动校核、按年集中生产的业务闭环，为重点时段预警和专题场景拓展提供统一规则、基础数据、成果模板和运行机制。</w:t>
      </w:r>
    </w:p>
    <w:p>
      <w:r>
        <w:br w:type="page"/>
      </w:r>
    </w:p>
    <w:p>
      <w:pPr>
        <w:pStyle w:val="Heading1"/>
      </w:pPr>
      <w:r>
        <w:rPr>
          <w:rFonts w:ascii="Noto Sans CJK SC" w:hAnsi="Noto Sans CJK SC" w:eastAsia="Noto Sans CJK SC"/>
          <w:b/>
          <w:color w:val="123B66"/>
          <w:sz w:val="36"/>
        </w:rPr>
        <w:t>三、业务体系与重点场景</w:t>
      </w:r>
    </w:p>
    <w:p>
      <w:r>
        <w:t>业务体系是电力供需形势预测能力建设的核心载体。围绕中电联职责和行业需求，构建预测对象、时间尺度和成果产品相互衔接的业务体系，明确首期核心场景、重点拓展方向和分阶段推进安排，确保建设重点集中、成果边界清晰。</w:t>
      </w:r>
    </w:p>
    <w:p>
      <w:pPr>
        <w:pStyle w:val="Heading2"/>
      </w:pPr>
      <w:r>
        <w:rPr>
          <w:rFonts w:ascii="Noto Sans CJK SC" w:hAnsi="Noto Sans CJK SC" w:eastAsia="Noto Sans CJK SC"/>
          <w:b/>
          <w:sz w:val="32"/>
        </w:rPr>
        <w:t>（一）构建覆盖供需全要素的预测业务体系</w:t>
      </w:r>
    </w:p>
    <w:p>
      <w:r>
        <w:t>预测业务体系由预测对象、时间尺度和成果产品三个维度构成。预测对象反映分析范围，时间尺度对应业务周期，成果产品承载分析结论，三者共同确定每项业务的输入、处理和输出边界。</w:t>
      </w:r>
    </w:p>
    <w:p>
      <w:pPr>
        <w:pStyle w:val="Heading3"/>
      </w:pPr>
      <w:r>
        <w:rPr>
          <w:rFonts w:ascii="AR PL KaitiM GB" w:hAnsi="AR PL KaitiM GB" w:eastAsia="AR PL KaitiM GB"/>
          <w:b/>
          <w:sz w:val="30"/>
        </w:rPr>
        <w:t>1. 预测对象覆盖需求、供给、平衡、市场、调节和风险六类要素</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211"/>
        <w:gridCol w:w="2211"/>
        <w:gridCol w:w="2211"/>
        <w:gridCol w:w="2211"/>
      </w:tblGrid>
      <w:tr>
        <w:trPr>
          <w:tblHeader w:val="true"/>
        </w:trPr>
        <w:tc>
          <w:tcPr>
            <w:tcW w:type="dxa" w:w="1417"/>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2"/>
              </w:rPr>
              <w:t>对象类别</w:t>
            </w:r>
          </w:p>
        </w:tc>
        <w:tc>
          <w:tcPr>
            <w:tcW w:type="dxa" w:w="3231"/>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2"/>
              </w:rPr>
              <w:t>主要分析内容</w:t>
            </w:r>
          </w:p>
        </w:tc>
        <w:tc>
          <w:tcPr>
            <w:tcW w:type="dxa" w:w="2835"/>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2"/>
              </w:rPr>
              <w:t>业务作用</w:t>
            </w:r>
          </w:p>
        </w:tc>
        <w:tc>
          <w:tcPr>
            <w:tcW w:type="dxa" w:w="1871"/>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2"/>
              </w:rPr>
              <w:t>建设安排</w:t>
            </w:r>
          </w:p>
        </w:tc>
      </w:tr>
      <w:tr>
        <w:trPr>
          <w:cantSplit/>
        </w:trPr>
        <w:tc>
          <w:tcPr>
            <w:tcW w:type="dxa" w:w="1417"/>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需求侧</w:t>
            </w:r>
          </w:p>
        </w:tc>
        <w:tc>
          <w:tcPr>
            <w:tcW w:type="dxa" w:w="323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全社会用电量、分产业和重点行业用电、最大负荷、负荷率及新型负荷变化。</w:t>
            </w:r>
          </w:p>
        </w:tc>
        <w:tc>
          <w:tcPr>
            <w:tcW w:type="dxa" w:w="2835"/>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判断用电增长、结构变化和尖峰压力。</w:t>
            </w:r>
          </w:p>
        </w:tc>
        <w:tc>
          <w:tcPr>
            <w:tcW w:type="dxa" w:w="187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首期重点建设</w:t>
            </w:r>
          </w:p>
        </w:tc>
      </w:tr>
      <w:tr>
        <w:trPr>
          <w:cantSplit/>
        </w:trPr>
        <w:tc>
          <w:tcPr>
            <w:tcW w:type="dxa" w:w="1417"/>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供给侧</w:t>
            </w:r>
          </w:p>
        </w:tc>
        <w:tc>
          <w:tcPr>
            <w:tcW w:type="dxa" w:w="323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发电量、装机结构、利用小时、可用容量、检修停运及新能源出力。</w:t>
            </w:r>
          </w:p>
        </w:tc>
        <w:tc>
          <w:tcPr>
            <w:tcW w:type="dxa" w:w="2835"/>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判断供给规模、结构和有效能力。</w:t>
            </w:r>
          </w:p>
        </w:tc>
        <w:tc>
          <w:tcPr>
            <w:tcW w:type="dxa" w:w="187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首期建立基础，逐步深化</w:t>
            </w:r>
          </w:p>
        </w:tc>
      </w:tr>
      <w:tr>
        <w:trPr>
          <w:cantSplit/>
        </w:trPr>
        <w:tc>
          <w:tcPr>
            <w:tcW w:type="dxa" w:w="1417"/>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平衡侧</w:t>
            </w:r>
          </w:p>
        </w:tc>
        <w:tc>
          <w:tcPr>
            <w:tcW w:type="dxa" w:w="323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全国、区域和重点省份供需平衡、备用空间、跨区互济和风险区间。</w:t>
            </w:r>
          </w:p>
        </w:tc>
        <w:tc>
          <w:tcPr>
            <w:tcW w:type="dxa" w:w="2835"/>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形成区域风险判断和保供会商支撑。</w:t>
            </w:r>
          </w:p>
        </w:tc>
        <w:tc>
          <w:tcPr>
            <w:tcW w:type="dxa" w:w="187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首期建设全国和区域能力</w:t>
            </w:r>
          </w:p>
        </w:tc>
      </w:tr>
      <w:tr>
        <w:trPr>
          <w:cantSplit/>
        </w:trPr>
        <w:tc>
          <w:tcPr>
            <w:tcW w:type="dxa" w:w="1417"/>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市场侧</w:t>
            </w:r>
          </w:p>
        </w:tc>
        <w:tc>
          <w:tcPr>
            <w:tcW w:type="dxa" w:w="323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市场化交易、跨省跨区交易、绿电交易和价格、规则等市场因素。</w:t>
            </w:r>
          </w:p>
        </w:tc>
        <w:tc>
          <w:tcPr>
            <w:tcW w:type="dxa" w:w="2835"/>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分析市场机制对资源配置和供需平衡的影响。</w:t>
            </w:r>
          </w:p>
        </w:tc>
        <w:tc>
          <w:tcPr>
            <w:tcW w:type="dxa" w:w="187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汇总数据先行，专题拓展</w:t>
            </w:r>
          </w:p>
        </w:tc>
      </w:tr>
      <w:tr>
        <w:trPr>
          <w:cantSplit/>
        </w:trPr>
        <w:tc>
          <w:tcPr>
            <w:tcW w:type="dxa" w:w="1417"/>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调节侧</w:t>
            </w:r>
          </w:p>
        </w:tc>
        <w:tc>
          <w:tcPr>
            <w:tcW w:type="dxa" w:w="323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需求响应、虚拟电厂、储能、充电负荷及其他可调节资源。</w:t>
            </w:r>
          </w:p>
        </w:tc>
        <w:tc>
          <w:tcPr>
            <w:tcW w:type="dxa" w:w="2835"/>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评估需求侧缓释空间和系统灵活性。</w:t>
            </w:r>
          </w:p>
        </w:tc>
        <w:tc>
          <w:tcPr>
            <w:tcW w:type="dxa" w:w="187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后续按场景纳入</w:t>
            </w:r>
          </w:p>
        </w:tc>
      </w:tr>
      <w:tr>
        <w:trPr>
          <w:cantSplit/>
        </w:trPr>
        <w:tc>
          <w:tcPr>
            <w:tcW w:type="dxa" w:w="1417"/>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风险侧</w:t>
            </w:r>
          </w:p>
        </w:tc>
        <w:tc>
          <w:tcPr>
            <w:tcW w:type="dxa" w:w="323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极端天气、来水偏差、风光低出力、燃料扰动、政策调整和重大事件。</w:t>
            </w:r>
          </w:p>
        </w:tc>
        <w:tc>
          <w:tcPr>
            <w:tcW w:type="dxa" w:w="2835"/>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开展风险识别、情景分析和专题预警。</w:t>
            </w:r>
          </w:p>
        </w:tc>
        <w:tc>
          <w:tcPr>
            <w:tcW w:type="dxa" w:w="1871"/>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首期纳入事件标签，逐步扩展</w:t>
            </w:r>
          </w:p>
        </w:tc>
      </w:tr>
    </w:tbl>
    <w:p>
      <w:pPr>
        <w:pStyle w:val="Heading3"/>
      </w:pPr>
      <w:r>
        <w:rPr>
          <w:rFonts w:ascii="AR PL KaitiM GB" w:hAnsi="AR PL KaitiM GB" w:eastAsia="AR PL KaitiM GB"/>
          <w:b/>
          <w:sz w:val="30"/>
        </w:rPr>
        <w:t>2. 建立年度、季度、月度和重点时段相互衔接的工作周期</w:t>
      </w:r>
    </w:p>
    <w:p>
      <w:pPr>
        <w:pStyle w:val="CompactList"/>
      </w:pPr>
      <w:r>
        <w:rPr>
          <w:rFonts w:ascii="Noto Serif CJK SC" w:hAnsi="Noto Serif CJK SC" w:eastAsia="Noto Serif CJK SC"/>
          <w:b w:val="0"/>
          <w:sz w:val="28"/>
        </w:rPr>
        <w:t>年度研判。综合分析用电需求、电源结构、区域平衡和政策环境，形成年度供需形势预测报告和下一年度形势判断。</w:t>
      </w:r>
    </w:p>
    <w:p>
      <w:pPr>
        <w:pStyle w:val="CompactList"/>
      </w:pPr>
      <w:r>
        <w:rPr>
          <w:rFonts w:ascii="Noto Serif CJK SC" w:hAnsi="Noto Serif CJK SC" w:eastAsia="Noto Serif CJK SC"/>
          <w:b/>
          <w:sz w:val="28"/>
        </w:rPr>
        <w:t>季度校核。</w:t>
      </w:r>
      <w:r>
        <w:rPr>
          <w:rFonts w:ascii="Noto Serif CJK SC" w:hAnsi="Noto Serif CJK SC" w:eastAsia="Noto Serif CJK SC"/>
          <w:b w:val="0"/>
          <w:sz w:val="28"/>
        </w:rPr>
        <w:t>结合季度统计、月度变化、市场交易、气象偏差和产业运行情况，对年度判断进行滚动校核和修订。</w:t>
      </w:r>
    </w:p>
    <w:p>
      <w:pPr>
        <w:pStyle w:val="CompactList"/>
      </w:pPr>
      <w:r>
        <w:rPr>
          <w:rFonts w:ascii="Noto Serif CJK SC" w:hAnsi="Noto Serif CJK SC" w:eastAsia="Noto Serif CJK SC"/>
          <w:b/>
          <w:sz w:val="28"/>
        </w:rPr>
        <w:t>月度滚动。</w:t>
      </w:r>
      <w:r>
        <w:rPr>
          <w:rFonts w:ascii="Noto Serif CJK SC" w:hAnsi="Noto Serif CJK SC" w:eastAsia="Noto Serif CJK SC"/>
          <w:b w:val="0"/>
          <w:sz w:val="28"/>
        </w:rPr>
        <w:t>围绕当月、下月和季度内供需变化，开展总量、结构、区域和影响因素分析，形成月度供需总盘。</w:t>
      </w:r>
    </w:p>
    <w:p>
      <w:pPr>
        <w:pStyle w:val="CompactList"/>
      </w:pPr>
      <w:r>
        <w:rPr>
          <w:rFonts w:ascii="Noto Serif CJK SC" w:hAnsi="Noto Serif CJK SC" w:eastAsia="Noto Serif CJK SC"/>
          <w:b/>
          <w:sz w:val="28"/>
        </w:rPr>
        <w:t>重点时段专题。</w:t>
      </w:r>
      <w:r>
        <w:rPr>
          <w:rFonts w:ascii="Noto Serif CJK SC" w:hAnsi="Noto Serif CJK SC" w:eastAsia="Noto Serif CJK SC"/>
          <w:b w:val="0"/>
          <w:sz w:val="28"/>
        </w:rPr>
        <w:t>围绕迎峰度夏、迎峰度冬、极端天气和重大活动等时段，集中研判最大负荷、有效供给、区域缺口和缓释资源。</w:t>
      </w:r>
    </w:p>
    <w:p>
      <w:pPr>
        <w:pStyle w:val="CompactList"/>
      </w:pPr>
      <w:r>
        <w:rPr>
          <w:rFonts w:ascii="Noto Serif CJK SC" w:hAnsi="Noto Serif CJK SC" w:eastAsia="Noto Serif CJK SC"/>
          <w:b/>
          <w:sz w:val="28"/>
        </w:rPr>
        <w:t>月内动态修正。</w:t>
      </w:r>
      <w:r>
        <w:rPr>
          <w:rFonts w:ascii="Noto Serif CJK SC" w:hAnsi="Noto Serif CJK SC" w:eastAsia="Noto Serif CJK SC"/>
          <w:b w:val="0"/>
          <w:sz w:val="28"/>
        </w:rPr>
        <w:t>在数据条件具备的情况下，利用日度负荷、气象和重点行业高频信息，对当月和下月判断进行动态修正。</w:t>
      </w:r>
    </w:p>
    <w:p>
      <w:pPr>
        <w:pStyle w:val="Heading3"/>
      </w:pPr>
      <w:r>
        <w:rPr>
          <w:rFonts w:ascii="AR PL KaitiM GB" w:hAnsi="AR PL KaitiM GB" w:eastAsia="AR PL KaitiM GB"/>
          <w:b/>
          <w:sz w:val="30"/>
        </w:rPr>
        <w:t>3. 形成报告、专报、清单、看板和数据服务相结合的成果体系</w:t>
      </w:r>
    </w:p>
    <w:p>
      <w:pPr>
        <w:pStyle w:val="CompactList"/>
      </w:pPr>
      <w:r>
        <w:rPr>
          <w:rFonts w:ascii="Noto Serif CJK SC" w:hAnsi="Noto Serif CJK SC" w:eastAsia="Noto Serif CJK SC"/>
          <w:b/>
          <w:sz w:val="28"/>
        </w:rPr>
        <w:t>报告类成果。</w:t>
      </w:r>
      <w:r>
        <w:rPr>
          <w:rFonts w:ascii="Noto Serif CJK SC" w:hAnsi="Noto Serif CJK SC" w:eastAsia="Noto Serif CJK SC"/>
          <w:b w:val="0"/>
          <w:sz w:val="28"/>
        </w:rPr>
        <w:t>月度供需形势分析、季度供需形势分析、年度供需形势预测报告和年度复盘报告。</w:t>
      </w:r>
    </w:p>
    <w:p>
      <w:pPr>
        <w:pStyle w:val="CompactList"/>
      </w:pPr>
      <w:r>
        <w:rPr>
          <w:rFonts w:ascii="Noto Serif CJK SC" w:hAnsi="Noto Serif CJK SC" w:eastAsia="Noto Serif CJK SC"/>
          <w:b/>
          <w:sz w:val="28"/>
        </w:rPr>
        <w:t>专题类成果。</w:t>
      </w:r>
      <w:r>
        <w:rPr>
          <w:rFonts w:ascii="Noto Serif CJK SC" w:hAnsi="Noto Serif CJK SC" w:eastAsia="Noto Serif CJK SC"/>
          <w:b w:val="0"/>
          <w:sz w:val="28"/>
        </w:rPr>
        <w:t>迎峰度夏度冬、极端天气、新能源高占比区域、新型负荷和市场交易等专题专报。</w:t>
      </w:r>
    </w:p>
    <w:p>
      <w:pPr>
        <w:pStyle w:val="CompactList"/>
      </w:pPr>
      <w:r>
        <w:rPr>
          <w:rFonts w:ascii="Noto Serif CJK SC" w:hAnsi="Noto Serif CJK SC" w:eastAsia="Noto Serif CJK SC"/>
          <w:b/>
          <w:sz w:val="28"/>
        </w:rPr>
        <w:t>清单类成果。</w:t>
      </w:r>
      <w:r>
        <w:rPr>
          <w:rFonts w:ascii="Noto Serif CJK SC" w:hAnsi="Noto Serif CJK SC" w:eastAsia="Noto Serif CJK SC"/>
          <w:b w:val="0"/>
          <w:sz w:val="28"/>
        </w:rPr>
        <w:t>区域供需风险清单、重点省份风险清单、预测修订清单、数据质量问题清单和误差复盘清单。</w:t>
      </w:r>
    </w:p>
    <w:p>
      <w:pPr>
        <w:pStyle w:val="CompactList"/>
      </w:pPr>
      <w:r>
        <w:rPr>
          <w:rFonts w:ascii="Noto Serif CJK SC" w:hAnsi="Noto Serif CJK SC" w:eastAsia="Noto Serif CJK SC"/>
          <w:b/>
          <w:sz w:val="28"/>
        </w:rPr>
        <w:t>展示类成果。</w:t>
      </w:r>
      <w:r>
        <w:rPr>
          <w:rFonts w:ascii="Noto Serif CJK SC" w:hAnsi="Noto Serif CJK SC" w:eastAsia="Noto Serif CJK SC"/>
          <w:b w:val="0"/>
          <w:sz w:val="28"/>
        </w:rPr>
        <w:t>全国供需总盘、区域风险图、关键指标趋势和重点因素变化展示。</w:t>
      </w:r>
    </w:p>
    <w:p>
      <w:pPr>
        <w:pStyle w:val="CompactList"/>
      </w:pPr>
      <w:r>
        <w:rPr>
          <w:rFonts w:ascii="Noto Serif CJK SC" w:hAnsi="Noto Serif CJK SC" w:eastAsia="Noto Serif CJK SC"/>
          <w:b/>
          <w:sz w:val="28"/>
        </w:rPr>
        <w:t>服务类成果。</w:t>
      </w:r>
      <w:r>
        <w:rPr>
          <w:rFonts w:ascii="Noto Serif CJK SC" w:hAnsi="Noto Serif CJK SC" w:eastAsia="Noto Serif CJK SC"/>
          <w:b w:val="0"/>
          <w:sz w:val="28"/>
        </w:rPr>
        <w:t>经授权的指标查询、预测结果订阅、报告组件和专题分析服务。</w:t>
      </w:r>
    </w:p>
    <w:p>
      <w:pPr>
        <w:pStyle w:val="Heading2"/>
      </w:pPr>
      <w:r>
        <w:rPr>
          <w:rFonts w:ascii="Noto Sans CJK SC" w:hAnsi="Noto Sans CJK SC" w:eastAsia="Noto Sans CJK SC"/>
          <w:b/>
          <w:sz w:val="32"/>
        </w:rPr>
        <w:t>（二）首期建设全国月度季度分析和年度报告自动化两项核心场景</w:t>
      </w:r>
    </w:p>
    <w:p>
      <w:pPr>
        <w:pStyle w:val="Heading3"/>
      </w:pPr>
      <w:r>
        <w:rPr>
          <w:rFonts w:ascii="AR PL KaitiM GB" w:hAnsi="AR PL KaitiM GB" w:eastAsia="AR PL KaitiM GB"/>
          <w:b/>
          <w:sz w:val="30"/>
        </w:rPr>
        <w:t>1. 全国月度与季度供需形势分析</w:t>
      </w:r>
    </w:p>
    <w:p>
      <w:r>
        <w:t>该场景是首期能力建设的主闭环，重点提升全国及重点区域供需变化的持续跟踪、滚动预测和原因解释能力。围绕全社会用电量、分产业和重点行业用电、最大负荷、发电量、装机结构、利用小时、区域平衡、交易互济和气象影响等内容，形成统一的月度和季度分析框架。</w:t>
      </w:r>
    </w:p>
    <w:p>
      <w:r>
        <w:t>主要任务包括：按业务周期归集统计、发电、装机、交易、宏观和气象等信息，统一指标口径和发布时间视图；开展同比环比分析、结构分解、区域比较和主要影响因素识别；形成全国及重点区域基准预测、变化区间和风险提示；组织专家审校和专题会商，形成发布结论；跟踪实际值和预测偏差，形成月度复盘记录。</w:t>
      </w:r>
    </w:p>
    <w:p>
      <w:r>
        <w:t>主要成果包括月度供需形势分析报告、季度供需形势分析报告、全国供需总盘、区域风险图、关键因素贡献说明、预测修订说明和误差复盘表。成果主要服务中电联领导、统计与数智部、相关专业部门、国家部委沟通和会员单位行业服务。</w:t>
      </w:r>
    </w:p>
    <w:p>
      <w:r>
        <w:t>首期以全国总盘和具备数据基础的重点区域为主要范围，优先保障统计口径稳定、报告按期形成和结论可解释。高频数据和省级精细分析根据协同条件逐步纳入。</w:t>
      </w:r>
    </w:p>
    <w:p>
      <w:pPr>
        <w:pStyle w:val="Heading3"/>
      </w:pPr>
      <w:r>
        <w:rPr>
          <w:rFonts w:ascii="AR PL KaitiM GB" w:hAnsi="AR PL KaitiM GB" w:eastAsia="AR PL KaitiM GB"/>
          <w:b/>
          <w:sz w:val="30"/>
        </w:rPr>
        <w:t>2. 年度供需形势预测报告自动化</w:t>
      </w:r>
    </w:p>
    <w:p>
      <w:r>
        <w:t>该场景围绕年度报告数据量大、图表多、版本多和审校链条长等特点，提升年度数据归集、指标校核、图表生成、章节编排和版本管理效率，保障报告口径一致、数据准确和审校留痕。</w:t>
      </w:r>
    </w:p>
    <w:p>
      <w:r>
        <w:t>主要任务包括：沉淀年度核心指标和历史序列，建立章节、指标、图表和结论之间的对应关系；形成年度数据底稿和口径冻结机制；按照统一模板生成图表、附表和章节基础文本；将模型结果、历史结论和专家判断纳入审校流程；保留章节版本、报告版本、审校意见和签发版本。</w:t>
      </w:r>
    </w:p>
    <w:p>
      <w:r>
        <w:t>自动化能力重点承担数据填充、趋势计算、图表更新、格式编排和基础表述生成，年度核心判断、重要风险和政策建议由业务人员和专家审定。通过人机协同提高生产效率，保持年度报告的专业性、权威性和发布规范。</w:t>
      </w:r>
    </w:p>
    <w:p>
      <w:r>
        <w:t>主要成果包括年度供需形势预测报告草稿、年度数据底稿、图表包、关键判断摘要、审校记录、发布版本和年度误差复盘报告。该场景与月度、季度分析共用指标口径和历史数据，推动不同业务周期成果相互衔接。</w:t>
      </w:r>
    </w:p>
    <w:p>
      <w:pPr>
        <w:pStyle w:val="Heading2"/>
      </w:pPr>
      <w:r>
        <w:rPr>
          <w:rFonts w:ascii="Noto Sans CJK SC" w:hAnsi="Noto Sans CJK SC" w:eastAsia="Noto Sans CJK SC"/>
          <w:b/>
          <w:sz w:val="32"/>
        </w:rPr>
        <w:t>（三）围绕保供、新能源和新型调节资源有序拓展专题场景</w:t>
      </w:r>
    </w:p>
    <w:p>
      <w:r>
        <w:t>在首期核心场景稳定运行基础上，根据行业需求、数据条件和协同基础，重点向保供预警、新能源与新型负荷、需求侧资源和市场运行等方向拓展。拓展场景突出专题价值和样板验证，不与首期核心任务并列铺开。</w:t>
      </w:r>
    </w:p>
    <w:p>
      <w:pPr>
        <w:pStyle w:val="CompactList"/>
      </w:pPr>
      <w:r>
        <w:rPr>
          <w:rFonts w:ascii="Noto Serif CJK SC" w:hAnsi="Noto Serif CJK SC" w:eastAsia="Noto Serif CJK SC"/>
          <w:b/>
          <w:sz w:val="28"/>
        </w:rPr>
        <w:t>一是拓展重点时段供需预测预警。</w:t>
      </w:r>
      <w:r>
        <w:rPr>
          <w:rFonts w:ascii="Noto Serif CJK SC" w:hAnsi="Noto Serif CJK SC" w:eastAsia="Noto Serif CJK SC"/>
          <w:b w:val="0"/>
          <w:sz w:val="28"/>
        </w:rPr>
        <w:t>围绕迎峰度夏、迎峰度冬、极端高温寒潮、来水偏枯和重大活动等情形，分析最大负荷区间、有效供给能力、跨区互济条件、重点省份风险和需求侧缓释空间，形成专题专报、风险清单和会商材料。该类场景优先选择数据基础较好的重点区域开展验证。</w:t>
      </w:r>
    </w:p>
    <w:p>
      <w:pPr>
        <w:pStyle w:val="CompactList"/>
      </w:pPr>
      <w:r>
        <w:rPr>
          <w:rFonts w:ascii="Noto Serif CJK SC" w:hAnsi="Noto Serif CJK SC" w:eastAsia="Noto Serif CJK SC"/>
          <w:b/>
          <w:sz w:val="28"/>
        </w:rPr>
        <w:t>二是拓展新能源高占比区域风险分析。</w:t>
      </w:r>
      <w:r>
        <w:rPr>
          <w:rFonts w:ascii="Noto Serif CJK SC" w:hAnsi="Noto Serif CJK SC" w:eastAsia="Noto Serif CJK SC"/>
          <w:b w:val="0"/>
          <w:sz w:val="28"/>
        </w:rPr>
        <w:t>围绕风光出力波动、有效容量、消纳压力、储能调节和跨区互济等因素，分析新能源高占比地区的供需风险和情景变化，形成区域专题报告、有效容量评估和风险图谱。分析结果以区域层级和汇总信息为主，场站级分析根据数据授权逐步开展。</w:t>
      </w:r>
    </w:p>
    <w:p>
      <w:pPr>
        <w:pStyle w:val="CompactList"/>
      </w:pPr>
      <w:r>
        <w:rPr>
          <w:rFonts w:ascii="Noto Serif CJK SC" w:hAnsi="Noto Serif CJK SC" w:eastAsia="Noto Serif CJK SC"/>
          <w:b/>
          <w:sz w:val="28"/>
        </w:rPr>
        <w:t>三是拓展储能与充电负荷影响分析。</w:t>
      </w:r>
      <w:r>
        <w:rPr>
          <w:rFonts w:ascii="Noto Serif CJK SC" w:hAnsi="Noto Serif CJK SC" w:eastAsia="Noto Serif CJK SC"/>
          <w:b w:val="0"/>
          <w:sz w:val="28"/>
        </w:rPr>
        <w:t>围绕储能可用能力、充电负荷增长、峰谷变化和局部负荷冲击，评估储能和电动汽车对供需平衡、峰荷水平和调节空间的影响，形成典型区域分析和专题评估成果。</w:t>
      </w:r>
    </w:p>
    <w:p>
      <w:pPr>
        <w:pStyle w:val="CompactList"/>
      </w:pPr>
      <w:r>
        <w:rPr>
          <w:rFonts w:ascii="Noto Serif CJK SC" w:hAnsi="Noto Serif CJK SC" w:eastAsia="Noto Serif CJK SC"/>
          <w:b/>
          <w:sz w:val="28"/>
        </w:rPr>
        <w:t>四是拓展需求响应和虚拟电厂调节能力评估。</w:t>
      </w:r>
      <w:r>
        <w:rPr>
          <w:rFonts w:ascii="Noto Serif CJK SC" w:hAnsi="Noto Serif CJK SC" w:eastAsia="Noto Serif CJK SC"/>
          <w:b w:val="0"/>
          <w:sz w:val="28"/>
        </w:rPr>
        <w:t>围绕资源规模、基线负荷、可调用容量、响应时长、履约表现和调用成本，评估需求侧资源在重点时段的可用性和稳定性，形成调节资源清单、能力评估和履约分析。该类场景重在形成统一评估口径和典型样板。</w:t>
      </w:r>
    </w:p>
    <w:p>
      <w:pPr>
        <w:pStyle w:val="CompactList"/>
      </w:pPr>
      <w:r>
        <w:rPr>
          <w:rFonts w:ascii="Noto Serif CJK SC" w:hAnsi="Noto Serif CJK SC" w:eastAsia="Noto Serif CJK SC"/>
          <w:b/>
          <w:sz w:val="28"/>
        </w:rPr>
        <w:t>五是拓展市场交易影响分析。</w:t>
      </w:r>
      <w:r>
        <w:rPr>
          <w:rFonts w:ascii="Noto Serif CJK SC" w:hAnsi="Noto Serif CJK SC" w:eastAsia="Noto Serif CJK SC"/>
          <w:b w:val="0"/>
          <w:sz w:val="28"/>
        </w:rPr>
        <w:t>围绕跨省跨区交易、绿电交易、中长期交易、现货运行和辅助服务等因素，分析市场机制对区域互济、供需紧张程度和资源配置的影响，形成市场交易专题和政策情景分析。涉及交易主体和价格的敏感信息按照汇总、脱敏和授权要求使用。</w:t>
      </w:r>
    </w:p>
    <w:p>
      <w:pPr>
        <w:pStyle w:val="Heading2"/>
      </w:pPr>
      <w:r>
        <w:rPr>
          <w:rFonts w:ascii="Noto Sans CJK SC" w:hAnsi="Noto Sans CJK SC" w:eastAsia="Noto Sans CJK SC"/>
          <w:b/>
          <w:sz w:val="32"/>
        </w:rPr>
        <w:t>（四）按照核心能力形成、专题能力扩展和服务能力深化分步推进</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211"/>
        <w:gridCol w:w="2211"/>
        <w:gridCol w:w="2211"/>
        <w:gridCol w:w="2211"/>
      </w:tblGrid>
      <w:tr>
        <w:trPr>
          <w:tblHeader w:val="true"/>
        </w:trPr>
        <w:tc>
          <w:tcPr>
            <w:tcW w:type="dxa" w:w="1417"/>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2"/>
              </w:rPr>
              <w:t>推进层级</w:t>
            </w:r>
          </w:p>
        </w:tc>
        <w:tc>
          <w:tcPr>
            <w:tcW w:type="dxa" w:w="2494"/>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2"/>
              </w:rPr>
              <w:t>重点场景</w:t>
            </w:r>
          </w:p>
        </w:tc>
        <w:tc>
          <w:tcPr>
            <w:tcW w:type="dxa" w:w="3402"/>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2"/>
              </w:rPr>
              <w:t>主要任务</w:t>
            </w:r>
          </w:p>
        </w:tc>
        <w:tc>
          <w:tcPr>
            <w:tcW w:type="dxa" w:w="2098"/>
            <w:shd w:fill="DDE8F2"/>
            <w:tcMar>
              <w:top w:w="80" w:type="dxa"/>
              <w:start w:w="90" w:type="dxa"/>
              <w:bottom w:w="80" w:type="dxa"/>
              <w:end w:w="90" w:type="dxa"/>
            </w:tcMar>
            <w:vAlign w:val="center"/>
          </w:tcPr>
          <w:p>
            <w:pPr>
              <w:jc w:val="center"/>
            </w:pPr>
            <w:r>
              <w:rPr>
                <w:rFonts w:ascii="Noto Sans CJK SC" w:hAnsi="Noto Sans CJK SC" w:eastAsia="Noto Sans CJK SC"/>
                <w:b/>
                <w:color w:val="123B66"/>
                <w:sz w:val="22"/>
              </w:rPr>
              <w:t>阶段成果</w:t>
            </w:r>
          </w:p>
        </w:tc>
      </w:tr>
      <w:tr>
        <w:trPr>
          <w:cantSplit/>
        </w:trPr>
        <w:tc>
          <w:tcPr>
            <w:tcW w:type="dxa" w:w="1417"/>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首期建设</w:t>
            </w:r>
          </w:p>
        </w:tc>
        <w:tc>
          <w:tcPr>
            <w:tcW w:type="dxa" w:w="2494"/>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全国月度季度分析、年度报告自动化</w:t>
            </w:r>
          </w:p>
        </w:tc>
        <w:tc>
          <w:tcPr>
            <w:tcW w:type="dxa" w:w="3402"/>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统一业务规则和核心口径，形成稳定数据链路、预测研判流程、报告生产和复盘闭环。</w:t>
            </w:r>
          </w:p>
        </w:tc>
        <w:tc>
          <w:tcPr>
            <w:tcW w:type="dxa" w:w="2098"/>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月报、季报、年度报告原型及基础看板稳定形成。</w:t>
            </w:r>
          </w:p>
        </w:tc>
      </w:tr>
      <w:tr>
        <w:trPr>
          <w:cantSplit/>
        </w:trPr>
        <w:tc>
          <w:tcPr>
            <w:tcW w:type="dxa" w:w="1417"/>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能力扩展</w:t>
            </w:r>
          </w:p>
        </w:tc>
        <w:tc>
          <w:tcPr>
            <w:tcW w:type="dxa" w:w="2494"/>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迎峰度夏度冬、新能源高占比区域风险分析</w:t>
            </w:r>
          </w:p>
        </w:tc>
        <w:tc>
          <w:tcPr>
            <w:tcW w:type="dxa" w:w="3402"/>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补充高频负荷、气象、可用容量、新能源出力和通道信息，形成重点时段和区域风险分析能力。</w:t>
            </w:r>
          </w:p>
        </w:tc>
        <w:tc>
          <w:tcPr>
            <w:tcW w:type="dxa" w:w="2098"/>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专题专报、区域风险清单和样板场景成果进入会商。</w:t>
            </w:r>
          </w:p>
        </w:tc>
      </w:tr>
      <w:tr>
        <w:trPr>
          <w:cantSplit/>
        </w:trPr>
        <w:tc>
          <w:tcPr>
            <w:tcW w:type="dxa" w:w="1417"/>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服务深化</w:t>
            </w:r>
          </w:p>
        </w:tc>
        <w:tc>
          <w:tcPr>
            <w:tcW w:type="dxa" w:w="2494"/>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需求响应、虚拟电厂、储能充电和市场交易影响分析</w:t>
            </w:r>
          </w:p>
        </w:tc>
        <w:tc>
          <w:tcPr>
            <w:tcW w:type="dxa" w:w="3402"/>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建立新型资源和市场因素评估口径，形成可复制的专题分析和行业服务产品。</w:t>
            </w:r>
          </w:p>
        </w:tc>
        <w:tc>
          <w:tcPr>
            <w:tcW w:type="dxa" w:w="2098"/>
            <w:vAlign w:val="center"/>
            <w:tcMar>
              <w:top w:w="80" w:type="dxa"/>
              <w:start w:w="90" w:type="dxa"/>
              <w:bottom w:w="80" w:type="dxa"/>
              <w:end w:w="90" w:type="dxa"/>
            </w:tcMar>
          </w:tcPr>
          <w:p>
            <w:pPr>
              <w:spacing w:line="380" w:lineRule="exact"/>
              <w:ind w:firstLine="0"/>
              <w:jc w:val="both"/>
            </w:pPr>
            <w:r>
              <w:rPr>
                <w:rFonts w:ascii="Noto Serif CJK SC" w:hAnsi="Noto Serif CJK SC" w:eastAsia="Noto Serif CJK SC"/>
                <w:b w:val="0"/>
                <w:sz w:val="21"/>
              </w:rPr>
              <w:t>专题评估、场景服务包和经授权的数据服务逐步形成。</w:t>
            </w:r>
          </w:p>
        </w:tc>
      </w:tr>
    </w:tbl>
    <w:p>
      <w:r>
        <w:t>场景推进实行统一入口和分层管理。每项场景均需明确业务目标、服务对象、核心成果、数据条件和使用边界，具备明确需求和数据基础后纳入建设计划。首期核心场景承担共性规则和基础能力建设，拓展场景优先复用既有指标、数据和成果生产机制，减少重复建设。</w:t>
      </w:r>
    </w:p>
    <w:p>
      <w:r>
        <w:t>通过上述业务布局，形成以月度季度分析和年度报告为基础、以重点时段和区域风险分析为增强、以新型资源和市场专题服务为拓展的业务体系，既保持中电联供需分析主责主业的连续性，又为后续行业变化和服务需求预留扩展空间。</w:t>
      </w:r>
    </w:p>
    <w:p>
      <w:r>
        <w:br w:type="page"/>
      </w:r>
    </w:p>
    <w:p>
      <w:pPr>
        <w:pStyle w:val="Heading1"/>
      </w:pPr>
      <w:r>
        <w:rPr>
          <w:rFonts w:ascii="Noto Sans CJK SC" w:hAnsi="Noto Sans CJK SC" w:eastAsia="Noto Sans CJK SC"/>
          <w:b/>
          <w:color w:val="123B66"/>
          <w:sz w:val="36"/>
        </w:rPr>
        <w:t>四、能力支撑体系</w:t>
      </w:r>
    </w:p>
    <w:p>
      <w:r>
        <w:rPr>
          <w:rFonts w:ascii="Noto Serif CJK SC" w:hAnsi="Noto Serif CJK SC" w:eastAsia="Noto Serif CJK SC"/>
          <w:b w:val="0"/>
          <w:sz w:val="28"/>
        </w:rPr>
        <w:t>能力支撑体系围绕业务体系运行需要，统筹数据资源、预测分析、智能辅助和知识沉淀等共性能力，为各类报告、专题场景和服务产品提供统一支撑。本章重点明确能力构成和运行规则，具体系统实现由第五章统筹安排。</w:t>
      </w:r>
    </w:p>
    <w:p>
      <w:pPr>
        <w:pStyle w:val="Heading2"/>
      </w:pPr>
      <w:r>
        <w:rPr>
          <w:rFonts w:ascii="Noto Sans CJK SC" w:hAnsi="Noto Sans CJK SC" w:eastAsia="Noto Sans CJK SC"/>
          <w:b/>
          <w:sz w:val="32"/>
        </w:rPr>
        <w:t>（一）构建统一可信的数据资源体系</w:t>
      </w:r>
    </w:p>
    <w:p>
      <w:r>
        <w:rPr>
          <w:rFonts w:ascii="Noto Serif CJK SC" w:hAnsi="Noto Serif CJK SC" w:eastAsia="Noto Serif CJK SC"/>
          <w:b w:val="0"/>
          <w:sz w:val="28"/>
        </w:rPr>
        <w:t>数据资源体系以现有行业统计数据为基础，根据业务需要分步接入运行、交易、气象、宏观和新型主体数据，形成来源清晰、口径统一、质量可控、授权明确和版本可追溯的数据基础。数据接入范围服从业务需求和使用边界，不以集中汇聚全部明细数据为建设目标。</w:t>
      </w:r>
    </w:p>
    <w:p>
      <w:pPr>
        <w:pStyle w:val="Heading3"/>
      </w:pPr>
      <w:r>
        <w:rPr>
          <w:rFonts w:ascii="AR PL KaitiM GB" w:hAnsi="AR PL KaitiM GB" w:eastAsia="AR PL KaitiM GB"/>
          <w:b/>
          <w:sz w:val="30"/>
        </w:rPr>
        <w:t>1. 按照业务重要程度分层组织数据资源</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211"/>
        <w:gridCol w:w="2211"/>
        <w:gridCol w:w="2211"/>
        <w:gridCol w:w="2211"/>
      </w:tblGrid>
      <w:tr>
        <w:trPr>
          <w:tblHeader w:val="true"/>
        </w:trPr>
        <w:tc>
          <w:tcPr>
            <w:tcW w:type="dxa" w:w="1474"/>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数据层级</w:t>
            </w:r>
          </w:p>
        </w:tc>
        <w:tc>
          <w:tcPr>
            <w:tcW w:type="dxa" w:w="351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主要内容</w:t>
            </w:r>
          </w:p>
        </w:tc>
        <w:tc>
          <w:tcPr>
            <w:tcW w:type="dxa" w:w="266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业务作用</w:t>
            </w:r>
          </w:p>
        </w:tc>
        <w:tc>
          <w:tcPr>
            <w:tcW w:type="dxa" w:w="1814"/>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接入安排</w:t>
            </w:r>
          </w:p>
        </w:tc>
      </w:tr>
      <w:tr>
        <w:trPr>
          <w:cantSplit/>
        </w:trPr>
        <w:tc>
          <w:tcPr>
            <w:tcW w:type="dxa" w:w="147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核心数据</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全社会用电量、分产业和重点行业用电、发电量、装机容量、利用小时、区域平衡等。</w:t>
            </w:r>
          </w:p>
        </w:tc>
        <w:tc>
          <w:tcPr>
            <w:tcW w:type="dxa" w:w="26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支撑月度、季度和年度供需形势分析。</w:t>
            </w:r>
          </w:p>
        </w:tc>
        <w:tc>
          <w:tcPr>
            <w:tcW w:type="dxa" w:w="181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首期形成稳定链路</w:t>
            </w:r>
          </w:p>
        </w:tc>
      </w:tr>
      <w:tr>
        <w:trPr>
          <w:cantSplit/>
        </w:trPr>
        <w:tc>
          <w:tcPr>
            <w:tcW w:type="dxa" w:w="147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重要数据</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日度负荷、气象变化、跨省跨区交易、重点行业高频指标、机组可用能力等。</w:t>
            </w:r>
          </w:p>
        </w:tc>
        <w:tc>
          <w:tcPr>
            <w:tcW w:type="dxa" w:w="26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支撑月内修正、重点时段研判和原因解释。</w:t>
            </w:r>
          </w:p>
        </w:tc>
        <w:tc>
          <w:tcPr>
            <w:tcW w:type="dxa" w:w="181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结合协同条件分批接入</w:t>
            </w:r>
          </w:p>
        </w:tc>
      </w:tr>
      <w:tr>
        <w:trPr>
          <w:cantSplit/>
        </w:trPr>
        <w:tc>
          <w:tcPr>
            <w:tcW w:type="dxa" w:w="147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拓展数据</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新能源出力、需求响应、虚拟电厂、储能、充电负荷、现货和辅助服务等。</w:t>
            </w:r>
          </w:p>
        </w:tc>
        <w:tc>
          <w:tcPr>
            <w:tcW w:type="dxa" w:w="26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支撑区域风险和新型资源专题分析。</w:t>
            </w:r>
          </w:p>
        </w:tc>
        <w:tc>
          <w:tcPr>
            <w:tcW w:type="dxa" w:w="181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按场景和授权逐步纳入</w:t>
            </w:r>
          </w:p>
        </w:tc>
      </w:tr>
      <w:tr>
        <w:trPr>
          <w:cantSplit/>
        </w:trPr>
        <w:tc>
          <w:tcPr>
            <w:tcW w:type="dxa" w:w="147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外部辅助数据</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宏观经济、产业景气、天气预报、水情、燃料和政策事件等。</w:t>
            </w:r>
          </w:p>
        </w:tc>
        <w:tc>
          <w:tcPr>
            <w:tcW w:type="dxa" w:w="26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增强趋势判断、情景分析和偏离解释。</w:t>
            </w:r>
          </w:p>
        </w:tc>
        <w:tc>
          <w:tcPr>
            <w:tcW w:type="dxa" w:w="181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通过公开或协议渠道使用</w:t>
            </w:r>
          </w:p>
        </w:tc>
      </w:tr>
    </w:tbl>
    <w:p>
      <w:pPr>
        <w:pStyle w:val="Heading3"/>
      </w:pPr>
      <w:r>
        <w:rPr>
          <w:rFonts w:ascii="AR PL KaitiM GB" w:hAnsi="AR PL KaitiM GB" w:eastAsia="AR PL KaitiM GB"/>
          <w:b/>
          <w:sz w:val="30"/>
        </w:rPr>
        <w:t>2. 建立贯穿数据全生命周期的治理规则</w:t>
      </w:r>
    </w:p>
    <w:p>
      <w:pPr>
        <w:pStyle w:val="CompactList"/>
      </w:pPr>
      <w:r>
        <w:rPr>
          <w:rFonts w:ascii="Noto Serif CJK SC" w:hAnsi="Noto Serif CJK SC" w:eastAsia="Noto Serif CJK SC"/>
          <w:b/>
          <w:sz w:val="28"/>
        </w:rPr>
        <w:t>一是统一指标口径。</w:t>
      </w:r>
      <w:r>
        <w:rPr>
          <w:rFonts w:ascii="Noto Serif CJK SC" w:hAnsi="Noto Serif CJK SC" w:eastAsia="Noto Serif CJK SC"/>
          <w:b w:val="0"/>
          <w:sz w:val="28"/>
        </w:rPr>
        <w:t>建立核心指标字典、计算规则、适用范围和口径责任人，处理同名不同义、跨期修订和不同来源口径差异。</w:t>
      </w:r>
    </w:p>
    <w:p>
      <w:pPr>
        <w:pStyle w:val="CompactList"/>
      </w:pPr>
      <w:r>
        <w:rPr>
          <w:rFonts w:ascii="Noto Serif CJK SC" w:hAnsi="Noto Serif CJK SC" w:eastAsia="Noto Serif CJK SC"/>
          <w:b/>
          <w:sz w:val="28"/>
        </w:rPr>
        <w:t>二是统一基础编码。</w:t>
      </w:r>
      <w:r>
        <w:rPr>
          <w:rFonts w:ascii="Noto Serif CJK SC" w:hAnsi="Noto Serif CJK SC" w:eastAsia="Noto Serif CJK SC"/>
          <w:b w:val="0"/>
          <w:sz w:val="28"/>
        </w:rPr>
        <w:t>规范地区、行业、电源类型、市场品种、时间周期等基础编码，保障全国、区域、省级和行业数据可汇总、可比较。</w:t>
      </w:r>
    </w:p>
    <w:p>
      <w:pPr>
        <w:pStyle w:val="CompactList"/>
      </w:pPr>
      <w:r>
        <w:rPr>
          <w:rFonts w:ascii="Noto Serif CJK SC" w:hAnsi="Noto Serif CJK SC" w:eastAsia="Noto Serif CJK SC"/>
          <w:b/>
          <w:sz w:val="28"/>
        </w:rPr>
        <w:t>三是加强质量管理。</w:t>
      </w:r>
      <w:r>
        <w:rPr>
          <w:rFonts w:ascii="Noto Serif CJK SC" w:hAnsi="Noto Serif CJK SC" w:eastAsia="Noto Serif CJK SC"/>
          <w:b w:val="0"/>
          <w:sz w:val="28"/>
        </w:rPr>
        <w:t>建立完整性、及时性、一致性和异常波动等质量规则，对缺失、迟到、重复和修订数据形成问题记录和处置闭环。</w:t>
      </w:r>
    </w:p>
    <w:p>
      <w:pPr>
        <w:pStyle w:val="CompactList"/>
      </w:pPr>
      <w:r>
        <w:rPr>
          <w:rFonts w:ascii="Noto Serif CJK SC" w:hAnsi="Noto Serif CJK SC" w:eastAsia="Noto Serif CJK SC"/>
          <w:b/>
          <w:sz w:val="28"/>
        </w:rPr>
        <w:t>四是加强版本管理。</w:t>
      </w:r>
      <w:r>
        <w:rPr>
          <w:rFonts w:ascii="Noto Serif CJK SC" w:hAnsi="Noto Serif CJK SC" w:eastAsia="Noto Serif CJK SC"/>
          <w:b w:val="0"/>
          <w:sz w:val="28"/>
        </w:rPr>
        <w:t>保留原始数据、当前修订数据和发布时点数据，关联指标、特征、模型和报告版本，支撑历史回放和误差复盘。</w:t>
      </w:r>
    </w:p>
    <w:p>
      <w:pPr>
        <w:pStyle w:val="CompactList"/>
      </w:pPr>
      <w:r>
        <w:rPr>
          <w:rFonts w:ascii="Noto Serif CJK SC" w:hAnsi="Noto Serif CJK SC" w:eastAsia="Noto Serif CJK SC"/>
          <w:b/>
          <w:sz w:val="28"/>
        </w:rPr>
        <w:t>五是加强事件管理。</w:t>
      </w:r>
      <w:r>
        <w:rPr>
          <w:rFonts w:ascii="Noto Serif CJK SC" w:hAnsi="Noto Serif CJK SC" w:eastAsia="Noto Serif CJK SC"/>
          <w:b w:val="0"/>
          <w:sz w:val="28"/>
        </w:rPr>
        <w:t>对极端天气、春节错位、政策调整、重大设备停运和市场规则变化等建立事件标签，支撑异常识别和原因分析。</w:t>
      </w:r>
    </w:p>
    <w:p>
      <w:pPr>
        <w:pStyle w:val="CompactList"/>
      </w:pPr>
      <w:r>
        <w:rPr>
          <w:rFonts w:ascii="Noto Serif CJK SC" w:hAnsi="Noto Serif CJK SC" w:eastAsia="Noto Serif CJK SC"/>
          <w:b/>
          <w:sz w:val="28"/>
        </w:rPr>
        <w:t>六是加强安全管理。</w:t>
      </w:r>
      <w:r>
        <w:rPr>
          <w:rFonts w:ascii="Noto Serif CJK SC" w:hAnsi="Noto Serif CJK SC" w:eastAsia="Noto Serif CJK SC"/>
          <w:b w:val="0"/>
          <w:sz w:val="28"/>
        </w:rPr>
        <w:t>按照数据分类分级、最小权限、用途限定和审计留痕要求，规范数据访问、加工、共享和成果输出。</w:t>
      </w:r>
    </w:p>
    <w:p>
      <w:pPr>
        <w:pStyle w:val="Heading3"/>
      </w:pPr>
      <w:r>
        <w:rPr>
          <w:rFonts w:ascii="AR PL KaitiM GB" w:hAnsi="AR PL KaitiM GB" w:eastAsia="AR PL KaitiM GB"/>
          <w:b/>
          <w:sz w:val="30"/>
        </w:rPr>
        <w:t>3. 形成规则、授权和技术相结合的可信使用机制</w:t>
      </w:r>
    </w:p>
    <w:p>
      <w:r>
        <w:rPr>
          <w:rFonts w:ascii="Noto Serif CJK SC" w:hAnsi="Noto Serif CJK SC" w:eastAsia="Noto Serif CJK SC"/>
          <w:b w:val="0"/>
          <w:sz w:val="28"/>
        </w:rPr>
        <w:t>跨主体数据使用实行清单化管理，明确提供主体、责任部门、字段范围、更新频率、使用目的、保存期限和成果边界。对细粒度负荷、企业生产计划、市场报价、交易行为和新型主体运行信息等敏感数据，优先采用汇总使用、脱敏使用、授权调用或受控分析方式。确需跨主体协同建模的，根据场景必要性和合规要求选用隐私计算、联邦学习、安全多方计算或可信执行环境等技术，技术选择服从业务价值和管理成本。</w:t>
      </w:r>
    </w:p>
    <w:p>
      <w:pPr>
        <w:pStyle w:val="Heading2"/>
      </w:pPr>
      <w:r>
        <w:rPr>
          <w:rFonts w:ascii="Noto Sans CJK SC" w:hAnsi="Noto Sans CJK SC" w:eastAsia="Noto Sans CJK SC"/>
          <w:b/>
          <w:sz w:val="32"/>
        </w:rPr>
        <w:t>（二）建立多方法协同的预测分析能力</w:t>
      </w:r>
    </w:p>
    <w:p>
      <w:r>
        <w:rPr>
          <w:rFonts w:ascii="Noto Serif CJK SC" w:hAnsi="Noto Serif CJK SC" w:eastAsia="Noto Serif CJK SC"/>
          <w:b w:val="0"/>
          <w:sz w:val="28"/>
        </w:rPr>
        <w:t>预测分析能力坚持统计分析、模型计算和专家研判相结合，形成基准预测、滚动修正、情景分析、风险判断和原因解释相互衔接的分析体系。模型服务于业务判断，重大结论由业务人员和专家会商审定。</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211"/>
        <w:gridCol w:w="2211"/>
        <w:gridCol w:w="2211"/>
        <w:gridCol w:w="2211"/>
      </w:tblGrid>
      <w:tr>
        <w:trPr>
          <w:tblHeader w:val="true"/>
        </w:trPr>
        <w:tc>
          <w:tcPr>
            <w:tcW w:type="dxa" w:w="1587"/>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能力层次</w:t>
            </w:r>
          </w:p>
        </w:tc>
        <w:tc>
          <w:tcPr>
            <w:tcW w:type="dxa" w:w="351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主要内容</w:t>
            </w:r>
          </w:p>
        </w:tc>
        <w:tc>
          <w:tcPr>
            <w:tcW w:type="dxa" w:w="266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业务作用</w:t>
            </w:r>
          </w:p>
        </w:tc>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建设安排</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基础分析能力</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同比环比、趋势外推、回归分析、季节调整和结构分解。</w:t>
            </w:r>
          </w:p>
        </w:tc>
        <w:tc>
          <w:tcPr>
            <w:tcW w:type="dxa" w:w="26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形成稳定、透明的基准判断。</w:t>
            </w:r>
          </w:p>
        </w:tc>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首期必须具备</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模型修正能力</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利用机器学习方法识别非线性关系、变量交互和结构变化。</w:t>
            </w:r>
          </w:p>
        </w:tc>
        <w:tc>
          <w:tcPr>
            <w:tcW w:type="dxa" w:w="26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对基准结果进行修正和组合，提高稳健性。</w:t>
            </w:r>
          </w:p>
        </w:tc>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首期逐步形成</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多尺度预测能力</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支持年度、季度、月度及重点时段不同预测步长。</w:t>
            </w:r>
          </w:p>
        </w:tc>
        <w:tc>
          <w:tcPr>
            <w:tcW w:type="dxa" w:w="26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保持不同业务周期结果相互衔接。</w:t>
            </w:r>
          </w:p>
        </w:tc>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随场景分步建设</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层级一致能力</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协调全国、区域、省级以及总量、分项预测结果。</w:t>
            </w:r>
          </w:p>
        </w:tc>
        <w:tc>
          <w:tcPr>
            <w:tcW w:type="dxa" w:w="26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保证分项汇总与整体判断逻辑一致。</w:t>
            </w:r>
          </w:p>
        </w:tc>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首期后段形成</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区间和情景能力</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形成基准、偏高、偏低及典型风险情景。</w:t>
            </w:r>
          </w:p>
        </w:tc>
        <w:tc>
          <w:tcPr>
            <w:tcW w:type="dxa" w:w="26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反映预测不确定性和风险边界。</w:t>
            </w:r>
          </w:p>
        </w:tc>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重点时段场景强化</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解释和归因能力</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开展变量贡献、弹性分析、事件比对和误差归因。</w:t>
            </w:r>
          </w:p>
        </w:tc>
        <w:tc>
          <w:tcPr>
            <w:tcW w:type="dxa" w:w="26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支撑报告表述、领导会商和结果复盘。</w:t>
            </w:r>
          </w:p>
        </w:tc>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首期重点建设</w:t>
            </w:r>
          </w:p>
        </w:tc>
      </w:tr>
    </w:tbl>
    <w:p>
      <w:pPr>
        <w:pStyle w:val="Heading2"/>
      </w:pPr>
      <w:r>
        <w:rPr>
          <w:rFonts w:ascii="Noto Sans CJK SC" w:hAnsi="Noto Sans CJK SC" w:eastAsia="Noto Sans CJK SC"/>
          <w:b/>
          <w:sz w:val="32"/>
        </w:rPr>
        <w:t>（三）完善模型训练、发布和复盘闭环</w:t>
      </w:r>
    </w:p>
    <w:p>
      <w:pPr>
        <w:pStyle w:val="CompactList"/>
      </w:pPr>
      <w:r>
        <w:rPr>
          <w:rFonts w:ascii="Noto Serif CJK SC" w:hAnsi="Noto Serif CJK SC" w:eastAsia="Noto Serif CJK SC"/>
          <w:b/>
          <w:sz w:val="28"/>
        </w:rPr>
        <w:t>一是形成规范样本。</w:t>
      </w:r>
      <w:r>
        <w:rPr>
          <w:rFonts w:ascii="Noto Serif CJK SC" w:hAnsi="Noto Serif CJK SC" w:eastAsia="Noto Serif CJK SC"/>
          <w:b w:val="0"/>
          <w:sz w:val="28"/>
        </w:rPr>
        <w:t>按照统一口径读取历史数据和发布时点数据，完成质量检查、异常标记和事件标签处理。</w:t>
      </w:r>
    </w:p>
    <w:p>
      <w:pPr>
        <w:pStyle w:val="CompactList"/>
      </w:pPr>
      <w:r>
        <w:rPr>
          <w:rFonts w:ascii="Noto Serif CJK SC" w:hAnsi="Noto Serif CJK SC" w:eastAsia="Noto Serif CJK SC"/>
          <w:b/>
          <w:sz w:val="28"/>
        </w:rPr>
        <w:t>二是开展滚动验证。</w:t>
      </w:r>
      <w:r>
        <w:rPr>
          <w:rFonts w:ascii="Noto Serif CJK SC" w:hAnsi="Noto Serif CJK SC" w:eastAsia="Noto Serif CJK SC"/>
          <w:b w:val="0"/>
          <w:sz w:val="28"/>
        </w:rPr>
        <w:t>按照不同季节、区域、预测步长和事件类型开展历史回测，比较基准方法、修正方法和组合结果。</w:t>
      </w:r>
    </w:p>
    <w:p>
      <w:pPr>
        <w:pStyle w:val="CompactList"/>
      </w:pPr>
      <w:r>
        <w:rPr>
          <w:rFonts w:ascii="Noto Serif CJK SC" w:hAnsi="Noto Serif CJK SC" w:eastAsia="Noto Serif CJK SC"/>
          <w:b/>
          <w:sz w:val="28"/>
        </w:rPr>
        <w:t>三是实行分级发布。</w:t>
      </w:r>
      <w:r>
        <w:rPr>
          <w:rFonts w:ascii="Noto Serif CJK SC" w:hAnsi="Noto Serif CJK SC" w:eastAsia="Noto Serif CJK SC"/>
          <w:b w:val="0"/>
          <w:sz w:val="28"/>
        </w:rPr>
        <w:t>模型结果先进入内部测算和业务审校，经过专家会商、假设校核和边界确认后形成正式结论。</w:t>
      </w:r>
    </w:p>
    <w:p>
      <w:pPr>
        <w:pStyle w:val="CompactList"/>
      </w:pPr>
      <w:r>
        <w:rPr>
          <w:rFonts w:ascii="Noto Serif CJK SC" w:hAnsi="Noto Serif CJK SC" w:eastAsia="Noto Serif CJK SC"/>
          <w:b/>
          <w:sz w:val="28"/>
        </w:rPr>
        <w:t>四是加强运行监测。</w:t>
      </w:r>
      <w:r>
        <w:rPr>
          <w:rFonts w:ascii="Noto Serif CJK SC" w:hAnsi="Noto Serif CJK SC" w:eastAsia="Noto Serif CJK SC"/>
          <w:b w:val="0"/>
          <w:sz w:val="28"/>
        </w:rPr>
        <w:t>持续跟踪数据变化、预测偏差和模型稳定性，出现结构变化或异常偏差时启动人工复核和模型调整。</w:t>
      </w:r>
    </w:p>
    <w:p>
      <w:pPr>
        <w:pStyle w:val="CompactList"/>
      </w:pPr>
      <w:r>
        <w:rPr>
          <w:rFonts w:ascii="Noto Serif CJK SC" w:hAnsi="Noto Serif CJK SC" w:eastAsia="Noto Serif CJK SC"/>
          <w:b/>
          <w:sz w:val="28"/>
        </w:rPr>
        <w:t>五是开展误差复盘。</w:t>
      </w:r>
      <w:r>
        <w:rPr>
          <w:rFonts w:ascii="Noto Serif CJK SC" w:hAnsi="Noto Serif CJK SC" w:eastAsia="Noto Serif CJK SC"/>
          <w:b w:val="0"/>
          <w:sz w:val="28"/>
        </w:rPr>
        <w:t>按月、按季和按年度分析误差来源，将数据问题、事件影响、参数变化和专家修正纳入复盘记录。</w:t>
      </w:r>
    </w:p>
    <w:p>
      <w:pPr>
        <w:pStyle w:val="Heading2"/>
      </w:pPr>
      <w:r>
        <w:rPr>
          <w:rFonts w:ascii="Noto Sans CJK SC" w:hAnsi="Noto Sans CJK SC" w:eastAsia="Noto Sans CJK SC"/>
          <w:b/>
          <w:sz w:val="32"/>
        </w:rPr>
        <w:t>（四）建设面向分析研判和成果生产的智能辅助能力</w:t>
      </w:r>
    </w:p>
    <w:p>
      <w:r>
        <w:rPr>
          <w:rFonts w:ascii="Noto Serif CJK SC" w:hAnsi="Noto Serif CJK SC" w:eastAsia="Noto Serif CJK SC"/>
          <w:b w:val="0"/>
          <w:sz w:val="28"/>
        </w:rPr>
        <w:t>智能辅助能力重点服务信息处理、分析解释和成果生产，不替代专业判断和发布审核。应用范围根据数据安全、结果准确性和工作成效逐步扩展。</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辅助能力</w:t>
            </w:r>
          </w:p>
        </w:tc>
        <w:tc>
          <w:tcPr>
            <w:tcW w:type="dxa" w:w="4649"/>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主要功能</w:t>
            </w:r>
          </w:p>
        </w:tc>
        <w:tc>
          <w:tcPr>
            <w:tcW w:type="dxa" w:w="311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预期作用</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信息检索</w:t>
            </w:r>
          </w:p>
        </w:tc>
        <w:tc>
          <w:tcPr>
            <w:tcW w:type="dxa" w:w="464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检索历史报告、指标口径、政策文件、事件案例和专家意见。</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提高资料查找和历史比对效率。</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分析提示</w:t>
            </w:r>
          </w:p>
        </w:tc>
        <w:tc>
          <w:tcPr>
            <w:tcW w:type="dxa" w:w="464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识别指标异常、趋势偏离、数据矛盾和需重点核实事项。</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为业务人员提供辅助线索。</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结果解释</w:t>
            </w:r>
          </w:p>
        </w:tc>
        <w:tc>
          <w:tcPr>
            <w:tcW w:type="dxa" w:w="464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归纳主要变量变化、历史相似情形和模型贡献信息。</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支撑原因分析和会商讨论。</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报告生产</w:t>
            </w:r>
          </w:p>
        </w:tc>
        <w:tc>
          <w:tcPr>
            <w:tcW w:type="dxa" w:w="464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辅助生成基础文字、图表说明、章节草稿和多版本材料。</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减少重复加工，提升报告生产效率。</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审校辅助</w:t>
            </w:r>
          </w:p>
        </w:tc>
        <w:tc>
          <w:tcPr>
            <w:tcW w:type="dxa" w:w="464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校验图表与正文、指标与口径、不同版本之间的一致性。</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降低数字错位和版本遗漏风险。</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会商支撑</w:t>
            </w:r>
          </w:p>
        </w:tc>
        <w:tc>
          <w:tcPr>
            <w:tcW w:type="dxa" w:w="464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整理会议材料、记录意见、形成结论草稿和待办事项。</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提高跨部门会商和意见闭环效率。</w:t>
            </w:r>
          </w:p>
        </w:tc>
      </w:tr>
    </w:tbl>
    <w:p>
      <w:r>
        <w:rPr>
          <w:rFonts w:ascii="Noto Serif CJK SC" w:hAnsi="Noto Serif CJK SC" w:eastAsia="Noto Serif CJK SC"/>
          <w:b w:val="0"/>
          <w:sz w:val="28"/>
        </w:rPr>
        <w:t>智能辅助输出统一纳入权限控制、日志记录和人工审校。涉及行业判断、风险等级、政策建议和对外发布内容，由业务责任人确认；涉及敏感数据和特定主体信息的，不进入无授权的通用模型或开放环境。</w:t>
      </w:r>
    </w:p>
    <w:p>
      <w:pPr>
        <w:pStyle w:val="Heading2"/>
      </w:pPr>
      <w:r>
        <w:rPr>
          <w:rFonts w:ascii="Noto Sans CJK SC" w:hAnsi="Noto Sans CJK SC" w:eastAsia="Noto Sans CJK SC"/>
          <w:b/>
          <w:sz w:val="32"/>
        </w:rPr>
        <w:t>（五）形成知识沉淀和持续改进机制</w:t>
      </w:r>
    </w:p>
    <w:p>
      <w:r>
        <w:rPr>
          <w:rFonts w:ascii="Noto Serif CJK SC" w:hAnsi="Noto Serif CJK SC" w:eastAsia="Noto Serif CJK SC"/>
          <w:b w:val="0"/>
          <w:sz w:val="28"/>
        </w:rPr>
        <w:t>围绕供需分析长期运行，逐步沉淀指标口径库、历史数据集、事件案例库、模型版本库、报告模板库、专家意见库和误差复盘库。各类知识资产与具体业务周期和发布版本关联，支撑历史回放、相似情景比对、新人培训和方法迭代，将个人经验转化为可复用的组织能力。</w:t>
      </w:r>
    </w:p>
    <w:p>
      <w:r>
        <w:br w:type="page"/>
      </w:r>
    </w:p>
    <w:p>
      <w:pPr>
        <w:pStyle w:val="Heading1"/>
      </w:pPr>
      <w:r>
        <w:rPr>
          <w:rFonts w:ascii="Noto Sans CJK SC" w:hAnsi="Noto Sans CJK SC" w:eastAsia="Noto Sans CJK SC"/>
          <w:b/>
          <w:color w:val="123B66"/>
          <w:sz w:val="36"/>
        </w:rPr>
        <w:t>五、平台与系统能力建设</w:t>
      </w:r>
    </w:p>
    <w:p>
      <w:r>
        <w:rPr>
          <w:rFonts w:ascii="Noto Serif CJK SC" w:hAnsi="Noto Serif CJK SC" w:eastAsia="Noto Serif CJK SC"/>
          <w:b w:val="0"/>
          <w:sz w:val="28"/>
        </w:rPr>
        <w:t>平台是业务体系和支撑能力的运行载体。平台建设围绕现有工作流程配置功能，统筹存量系统复用和新增能力建设，贯通数据接入、治理加工、预测分析、成果生产、审校发布和运行监控，形成统一、可扩展、可审计的工作环境。</w:t>
      </w:r>
    </w:p>
    <w:p>
      <w:pPr>
        <w:pStyle w:val="Heading2"/>
      </w:pPr>
      <w:r>
        <w:rPr>
          <w:rFonts w:ascii="Noto Sans CJK SC" w:hAnsi="Noto Sans CJK SC" w:eastAsia="Noto Sans CJK SC"/>
          <w:b/>
          <w:sz w:val="32"/>
        </w:rPr>
        <w:t>（一）构建贯通数据、分析和应用的总体架构</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架构层次</w:t>
            </w:r>
          </w:p>
        </w:tc>
        <w:tc>
          <w:tcPr>
            <w:tcW w:type="dxa" w:w="4819"/>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主要内容</w:t>
            </w:r>
          </w:p>
        </w:tc>
        <w:tc>
          <w:tcPr>
            <w:tcW w:type="dxa" w:w="294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建设作用</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数据来源层</w:t>
            </w:r>
          </w:p>
        </w:tc>
        <w:tc>
          <w:tcPr>
            <w:tcW w:type="dxa" w:w="481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中电联统计数据、电网和发电数据、交易数据、气象宏观数据、新型主体数据及公开信息。</w:t>
            </w:r>
          </w:p>
        </w:tc>
        <w:tc>
          <w:tcPr>
            <w:tcW w:type="dxa" w:w="294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明确来源、责任、频率和授权边界。</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接入与治理层</w:t>
            </w:r>
          </w:p>
        </w:tc>
        <w:tc>
          <w:tcPr>
            <w:tcW w:type="dxa" w:w="481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批量导入、接口接入、人工补录、质量校验、指标口径、主数据、版本和权限管理。</w:t>
            </w:r>
          </w:p>
        </w:tc>
        <w:tc>
          <w:tcPr>
            <w:tcW w:type="dxa" w:w="294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保证数据持续接入、口径一致和使用可控。</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数据与计算层</w:t>
            </w:r>
          </w:p>
        </w:tc>
        <w:tc>
          <w:tcPr>
            <w:tcW w:type="dxa" w:w="481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历史数据存储、时序数据管理、计算调度、数据服务和受控分析环境。</w:t>
            </w:r>
          </w:p>
        </w:tc>
        <w:tc>
          <w:tcPr>
            <w:tcW w:type="dxa" w:w="294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支撑统计分析、模型训练和业务查询。</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分析与模型层</w:t>
            </w:r>
          </w:p>
        </w:tc>
        <w:tc>
          <w:tcPr>
            <w:tcW w:type="dxa" w:w="481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特征加工、基准预测、模型修正、情景分析、模型注册、回测和监控。</w:t>
            </w:r>
          </w:p>
        </w:tc>
        <w:tc>
          <w:tcPr>
            <w:tcW w:type="dxa" w:w="294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支撑多周期预测和专题分析。</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业务应用层</w:t>
            </w:r>
          </w:p>
        </w:tc>
        <w:tc>
          <w:tcPr>
            <w:tcW w:type="dxa" w:w="481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月报季报、年度报告、专题专报、风险清单、领导看板、审校发布和复盘管理。</w:t>
            </w:r>
          </w:p>
        </w:tc>
        <w:tc>
          <w:tcPr>
            <w:tcW w:type="dxa" w:w="294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将分析能力转化为稳定业务产品。</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安全运维层</w:t>
            </w:r>
          </w:p>
        </w:tc>
        <w:tc>
          <w:tcPr>
            <w:tcW w:type="dxa" w:w="481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身份权限、日志审计、接口监控、备份恢复、故障处置和安全防护。</w:t>
            </w:r>
          </w:p>
        </w:tc>
        <w:tc>
          <w:tcPr>
            <w:tcW w:type="dxa" w:w="294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保障平台、数据和发布链路稳定可控。</w:t>
            </w:r>
          </w:p>
        </w:tc>
      </w:tr>
    </w:tbl>
    <w:p>
      <w:r>
        <w:rPr>
          <w:rFonts w:ascii="Noto Serif CJK SC" w:hAnsi="Noto Serif CJK SC" w:eastAsia="Noto Serif CJK SC"/>
          <w:b w:val="0"/>
          <w:sz w:val="28"/>
        </w:rPr>
        <w:t>总体架构保持业务主链清晰：数据按照授权进入治理环节，经统一加工后支撑预测分析，分析结果进入报告、看板和会商流程，最终通过审校发布形成业务成果。安全、权限、版本和运维能力贯穿各环节。</w:t>
      </w:r>
    </w:p>
    <w:p>
      <w:pPr>
        <w:pStyle w:val="Heading2"/>
      </w:pPr>
      <w:r>
        <w:rPr>
          <w:rFonts w:ascii="Noto Sans CJK SC" w:hAnsi="Noto Sans CJK SC" w:eastAsia="Noto Sans CJK SC"/>
          <w:b/>
          <w:sz w:val="32"/>
        </w:rPr>
        <w:t>（二）围绕业务闭环建设核心功能</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功能域</w:t>
            </w:r>
          </w:p>
        </w:tc>
        <w:tc>
          <w:tcPr>
            <w:tcW w:type="dxa" w:w="4989"/>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主要功能</w:t>
            </w:r>
          </w:p>
        </w:tc>
        <w:tc>
          <w:tcPr>
            <w:tcW w:type="dxa" w:w="277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解决问题</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数据管理</w:t>
            </w:r>
          </w:p>
        </w:tc>
        <w:tc>
          <w:tcPr>
            <w:tcW w:type="dxa" w:w="498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数据源登记、批量和接口接入、质量校验、人工补录、问题反馈、指标字典、主数据和版本视图。</w:t>
            </w:r>
          </w:p>
        </w:tc>
        <w:tc>
          <w:tcPr>
            <w:tcW w:type="dxa" w:w="277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解决数据来源分散、口径不一和历史修订问题。</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分析与模型管理</w:t>
            </w:r>
          </w:p>
        </w:tc>
        <w:tc>
          <w:tcPr>
            <w:tcW w:type="dxa" w:w="498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样本和特征管理、基准分析、模型训练、回测比较、结果组合、模型注册、监测和回滚。</w:t>
            </w:r>
          </w:p>
        </w:tc>
        <w:tc>
          <w:tcPr>
            <w:tcW w:type="dxa" w:w="277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形成可复用、可验证的预测分析链路。</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报告和产品生产</w:t>
            </w:r>
          </w:p>
        </w:tc>
        <w:tc>
          <w:tcPr>
            <w:tcW w:type="dxa" w:w="498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报告模板、指标绑定、图表生成、文字草拟、风险清单、专题材料和数据底稿。</w:t>
            </w:r>
          </w:p>
        </w:tc>
        <w:tc>
          <w:tcPr>
            <w:tcW w:type="dxa" w:w="277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提高月报、季报、年报和专报生产效率。</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审校与发布</w:t>
            </w:r>
          </w:p>
        </w:tc>
        <w:tc>
          <w:tcPr>
            <w:tcW w:type="dxa" w:w="498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任务流转、意见记录、版本比较、会商确认、发布审批、归档和使用范围管理。</w:t>
            </w:r>
          </w:p>
        </w:tc>
        <w:tc>
          <w:tcPr>
            <w:tcW w:type="dxa" w:w="277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保证成果口径统一、责任清晰和过程留痕。</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可视化与服务</w:t>
            </w:r>
          </w:p>
        </w:tc>
        <w:tc>
          <w:tcPr>
            <w:tcW w:type="dxa" w:w="498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全国总盘、区域风险图、指标趋势、专题看板、经授权的查询和订阅服务。</w:t>
            </w:r>
          </w:p>
        </w:tc>
        <w:tc>
          <w:tcPr>
            <w:tcW w:type="dxa" w:w="277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满足领导研判、专业分析和会员服务需要。</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运行管理</w:t>
            </w:r>
          </w:p>
        </w:tc>
        <w:tc>
          <w:tcPr>
            <w:tcW w:type="dxa" w:w="498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作业调度、接口监控、服务告警、日志审计、备份恢复、运行统计和资源管理。</w:t>
            </w:r>
          </w:p>
        </w:tc>
        <w:tc>
          <w:tcPr>
            <w:tcW w:type="dxa" w:w="277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保障平台稳定运行和问题及时处置。</w:t>
            </w:r>
          </w:p>
        </w:tc>
      </w:tr>
    </w:tbl>
    <w:p>
      <w:pPr>
        <w:pStyle w:val="Heading2"/>
      </w:pPr>
      <w:r>
        <w:rPr>
          <w:rFonts w:ascii="Noto Sans CJK SC" w:hAnsi="Noto Sans CJK SC" w:eastAsia="Noto Sans CJK SC"/>
          <w:b/>
          <w:sz w:val="32"/>
        </w:rPr>
        <w:t>（三）加强数据、模型、报告和发布版本的统一管理</w:t>
      </w:r>
    </w:p>
    <w:p>
      <w:r>
        <w:rPr>
          <w:rFonts w:ascii="Noto Serif CJK SC" w:hAnsi="Noto Serif CJK SC" w:eastAsia="Noto Serif CJK SC"/>
          <w:b w:val="0"/>
          <w:sz w:val="28"/>
        </w:rPr>
        <w:t>平台重点管理数据版本、指标口径版本、模型版本、报告版本和发布版本。每次正式成果均关联所使用的数据、口径、模型、专家修正和审批记录，能够回答“使用了什么数据、采用了什么方法、形成了什么调整、由谁审校、何时发布”，支撑责任追溯和历史复盘。</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版本类型</w:t>
            </w:r>
          </w:p>
        </w:tc>
        <w:tc>
          <w:tcPr>
            <w:tcW w:type="dxa" w:w="4706"/>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管理内容</w:t>
            </w:r>
          </w:p>
        </w:tc>
        <w:tc>
          <w:tcPr>
            <w:tcW w:type="dxa" w:w="306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主要作用</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数据版本</w:t>
            </w:r>
          </w:p>
        </w:tc>
        <w:tc>
          <w:tcPr>
            <w:tcW w:type="dxa" w:w="470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记录原始数据、修订数据和发布时点数据。</w:t>
            </w:r>
          </w:p>
        </w:tc>
        <w:tc>
          <w:tcPr>
            <w:tcW w:type="dxa" w:w="306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保障历史回放和样本一致。</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口径版本</w:t>
            </w:r>
          </w:p>
        </w:tc>
        <w:tc>
          <w:tcPr>
            <w:tcW w:type="dxa" w:w="470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记录指标定义、计算规则、适用范围和变更原因。</w:t>
            </w:r>
          </w:p>
        </w:tc>
        <w:tc>
          <w:tcPr>
            <w:tcW w:type="dxa" w:w="306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保障跨周期、跨报告口径统一。</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模型版本</w:t>
            </w:r>
          </w:p>
        </w:tc>
        <w:tc>
          <w:tcPr>
            <w:tcW w:type="dxa" w:w="470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记录训练样本、参数配置、回测结果、上线时间和适用场景。</w:t>
            </w:r>
          </w:p>
        </w:tc>
        <w:tc>
          <w:tcPr>
            <w:tcW w:type="dxa" w:w="306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保障模型可比较、可回滚。</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报告版本</w:t>
            </w:r>
          </w:p>
        </w:tc>
        <w:tc>
          <w:tcPr>
            <w:tcW w:type="dxa" w:w="470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记录章节、图表、文字和专家意见的修改过程。</w:t>
            </w:r>
          </w:p>
        </w:tc>
        <w:tc>
          <w:tcPr>
            <w:tcW w:type="dxa" w:w="306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防止多轮修订造成错漏。</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发布版本</w:t>
            </w:r>
          </w:p>
        </w:tc>
        <w:tc>
          <w:tcPr>
            <w:tcW w:type="dxa" w:w="470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固化正式结论、使用范围、审批记录和归档时间。</w:t>
            </w:r>
          </w:p>
        </w:tc>
        <w:tc>
          <w:tcPr>
            <w:tcW w:type="dxa" w:w="306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保障成果规范使用和对外口径一致。</w:t>
            </w:r>
          </w:p>
        </w:tc>
      </w:tr>
    </w:tbl>
    <w:p>
      <w:pPr>
        <w:pStyle w:val="Heading2"/>
      </w:pPr>
      <w:r>
        <w:rPr>
          <w:rFonts w:ascii="Noto Sans CJK SC" w:hAnsi="Noto Sans CJK SC" w:eastAsia="Noto Sans CJK SC"/>
          <w:b/>
          <w:sz w:val="32"/>
        </w:rPr>
        <w:t>（四）坚持存量复用和分步建设</w:t>
      </w:r>
    </w:p>
    <w:p>
      <w:pPr>
        <w:pStyle w:val="CompactList"/>
      </w:pPr>
      <w:r>
        <w:rPr>
          <w:rFonts w:ascii="Noto Serif CJK SC" w:hAnsi="Noto Serif CJK SC" w:eastAsia="Noto Serif CJK SC"/>
          <w:b/>
          <w:sz w:val="28"/>
        </w:rPr>
        <w:t>一是全面摸清存量基础。</w:t>
      </w:r>
      <w:r>
        <w:rPr>
          <w:rFonts w:ascii="Noto Serif CJK SC" w:hAnsi="Noto Serif CJK SC" w:eastAsia="Noto Serif CJK SC"/>
          <w:b w:val="0"/>
          <w:sz w:val="28"/>
        </w:rPr>
        <w:t>梳理现有数据库、统计系统、报告工具、算力、安全设施和已建模型，明确可直接复用、需要改造和需要新增的能力。</w:t>
      </w:r>
    </w:p>
    <w:p>
      <w:pPr>
        <w:pStyle w:val="CompactList"/>
      </w:pPr>
      <w:r>
        <w:rPr>
          <w:rFonts w:ascii="Noto Serif CJK SC" w:hAnsi="Noto Serif CJK SC" w:eastAsia="Noto Serif CJK SC"/>
          <w:b/>
          <w:sz w:val="28"/>
        </w:rPr>
        <w:t>二是优先建设最小可用闭环。</w:t>
      </w:r>
      <w:r>
        <w:rPr>
          <w:rFonts w:ascii="Noto Serif CJK SC" w:hAnsi="Noto Serif CJK SC" w:eastAsia="Noto Serif CJK SC"/>
          <w:b w:val="0"/>
          <w:sz w:val="28"/>
        </w:rPr>
        <w:t>首期围绕数据导入、质量校验、基准预测、报告生成、人工审校和版本归档形成可运行原型，避免初期追求大而全。</w:t>
      </w:r>
    </w:p>
    <w:p>
      <w:pPr>
        <w:pStyle w:val="CompactList"/>
      </w:pPr>
      <w:r>
        <w:rPr>
          <w:rFonts w:ascii="Noto Serif CJK SC" w:hAnsi="Noto Serif CJK SC" w:eastAsia="Noto Serif CJK SC"/>
          <w:b/>
          <w:sz w:val="28"/>
        </w:rPr>
        <w:t>三是实行模块化扩展。</w:t>
      </w:r>
      <w:r>
        <w:rPr>
          <w:rFonts w:ascii="Noto Serif CJK SC" w:hAnsi="Noto Serif CJK SC" w:eastAsia="Noto Serif CJK SC"/>
          <w:b w:val="0"/>
          <w:sz w:val="28"/>
        </w:rPr>
        <w:t>数据、模型、报告、看板和专题场景采用可复用模块，后续根据场景增加数据和功能，不重复搭建底层能力。</w:t>
      </w:r>
    </w:p>
    <w:p>
      <w:pPr>
        <w:pStyle w:val="CompactList"/>
      </w:pPr>
      <w:r>
        <w:rPr>
          <w:rFonts w:ascii="Noto Serif CJK SC" w:hAnsi="Noto Serif CJK SC" w:eastAsia="Noto Serif CJK SC"/>
          <w:b/>
          <w:sz w:val="28"/>
        </w:rPr>
        <w:t>四是保持技术路线开放。</w:t>
      </w:r>
      <w:r>
        <w:rPr>
          <w:rFonts w:ascii="Noto Serif CJK SC" w:hAnsi="Noto Serif CJK SC" w:eastAsia="Noto Serif CJK SC"/>
          <w:b w:val="0"/>
          <w:sz w:val="28"/>
        </w:rPr>
        <w:t>按照安全、稳定、成本和运维要求选择技术产品，关键数据、代码、规则、模型和文档纳入中电联统一管理，避免形成不可替代的单一供应商依赖。</w:t>
      </w:r>
    </w:p>
    <w:p>
      <w:r>
        <w:br w:type="page"/>
      </w:r>
    </w:p>
    <w:p>
      <w:pPr>
        <w:pStyle w:val="Heading1"/>
      </w:pPr>
      <w:r>
        <w:rPr>
          <w:rFonts w:ascii="Noto Sans CJK SC" w:hAnsi="Noto Sans CJK SC" w:eastAsia="Noto Sans CJK SC"/>
          <w:b/>
          <w:color w:val="123B66"/>
          <w:sz w:val="36"/>
        </w:rPr>
        <w:t>六、组织机制与实施路径</w:t>
      </w:r>
    </w:p>
    <w:p>
      <w:r>
        <w:rPr>
          <w:rFonts w:ascii="Noto Serif CJK SC" w:hAnsi="Noto Serif CJK SC" w:eastAsia="Noto Serif CJK SC"/>
          <w:b w:val="0"/>
          <w:sz w:val="28"/>
        </w:rPr>
        <w:t>电力供需形势预测能力建设涉及业务、数据、模型、系统、安全和成果发布等多个环节，实行领导统筹、处室牵头、专班推进、专家支撑和外部协同，按照基础先行、核心成型、能力扩展和深化运行的节奏推进。</w:t>
      </w:r>
    </w:p>
    <w:p>
      <w:pPr>
        <w:pStyle w:val="Heading2"/>
      </w:pPr>
      <w:r>
        <w:rPr>
          <w:rFonts w:ascii="Noto Sans CJK SC" w:hAnsi="Noto Sans CJK SC" w:eastAsia="Noto Sans CJK SC"/>
          <w:b/>
          <w:sz w:val="32"/>
        </w:rPr>
        <w:t>（一）建立权责清晰的组织体系</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757"/>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组织单元</w:t>
            </w:r>
          </w:p>
        </w:tc>
        <w:tc>
          <w:tcPr>
            <w:tcW w:type="dxa" w:w="300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组成方式</w:t>
            </w:r>
          </w:p>
        </w:tc>
        <w:tc>
          <w:tcPr>
            <w:tcW w:type="dxa" w:w="4706"/>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主要职责</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领导协调机制</w:t>
            </w:r>
          </w:p>
        </w:tc>
        <w:tc>
          <w:tcPr>
            <w:tcW w:type="dxa" w:w="300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中电联领导统筹。</w:t>
            </w:r>
          </w:p>
        </w:tc>
        <w:tc>
          <w:tcPr>
            <w:tcW w:type="dxa" w:w="470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审定工作定位、建设目标、重大协同事项、资源安排和阶段成果。</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牵头处室</w:t>
            </w:r>
          </w:p>
        </w:tc>
        <w:tc>
          <w:tcPr>
            <w:tcW w:type="dxa" w:w="300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统计与数智部电力供需分析处。</w:t>
            </w:r>
          </w:p>
        </w:tc>
        <w:tc>
          <w:tcPr>
            <w:tcW w:type="dxa" w:w="470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牵头总体设计、业务规则、指标口径、预测研判、成果产品、会商组织和日常推进。</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工作专班</w:t>
            </w:r>
          </w:p>
        </w:tc>
        <w:tc>
          <w:tcPr>
            <w:tcW w:type="dxa" w:w="300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业务、数据、模型、平台、安全、报告和项目管理力量参加。</w:t>
            </w:r>
          </w:p>
        </w:tc>
        <w:tc>
          <w:tcPr>
            <w:tcW w:type="dxa" w:w="470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细化任务计划，协调数据和技术问题，组织版本评审、测试和验收。</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专家支撑机制</w:t>
            </w:r>
          </w:p>
        </w:tc>
        <w:tc>
          <w:tcPr>
            <w:tcW w:type="dxa" w:w="300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行业专家、业务专家和技术专家组成。</w:t>
            </w:r>
          </w:p>
        </w:tc>
        <w:tc>
          <w:tcPr>
            <w:tcW w:type="dxa" w:w="470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开展指标口径、预测方法、重点风险和成果结论审议。</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外部协同机制</w:t>
            </w:r>
          </w:p>
        </w:tc>
        <w:tc>
          <w:tcPr>
            <w:tcW w:type="dxa" w:w="300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电网企业、发电集团、交易机构、气象机构、地方协会和相关主体参加。</w:t>
            </w:r>
          </w:p>
        </w:tc>
        <w:tc>
          <w:tcPr>
            <w:tcW w:type="dxa" w:w="470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围绕数据、业务和专题场景建立沟通与合作安排。</w:t>
            </w:r>
          </w:p>
        </w:tc>
      </w:tr>
    </w:tbl>
    <w:p>
      <w:pPr>
        <w:pStyle w:val="Heading2"/>
      </w:pPr>
      <w:r>
        <w:rPr>
          <w:rFonts w:ascii="Noto Sans CJK SC" w:hAnsi="Noto Sans CJK SC" w:eastAsia="Noto Sans CJK SC"/>
          <w:b/>
          <w:sz w:val="32"/>
        </w:rPr>
        <w:t>（二）形成常态化业务运行和协同机制</w:t>
      </w:r>
    </w:p>
    <w:p>
      <w:pPr>
        <w:pStyle w:val="CompactList"/>
      </w:pPr>
      <w:r>
        <w:rPr>
          <w:rFonts w:ascii="Noto Serif CJK SC" w:hAnsi="Noto Serif CJK SC" w:eastAsia="Noto Serif CJK SC"/>
          <w:b/>
          <w:sz w:val="28"/>
        </w:rPr>
        <w:t>一是建立月度运行机制。</w:t>
      </w:r>
      <w:r>
        <w:rPr>
          <w:rFonts w:ascii="Noto Serif CJK SC" w:hAnsi="Noto Serif CJK SC" w:eastAsia="Noto Serif CJK SC"/>
          <w:b w:val="0"/>
          <w:sz w:val="28"/>
        </w:rPr>
        <w:t>按照数据准备、质量检查、预测分析、专家审校、报告发布和误差复盘形成固定工作周期，明确各环节完成时间和责任人。</w:t>
      </w:r>
    </w:p>
    <w:p>
      <w:pPr>
        <w:pStyle w:val="CompactList"/>
      </w:pPr>
      <w:r>
        <w:rPr>
          <w:rFonts w:ascii="Noto Serif CJK SC" w:hAnsi="Noto Serif CJK SC" w:eastAsia="Noto Serif CJK SC"/>
          <w:b/>
          <w:sz w:val="28"/>
        </w:rPr>
        <w:t>二是建立季度评审机制。</w:t>
      </w:r>
      <w:r>
        <w:rPr>
          <w:rFonts w:ascii="Noto Serif CJK SC" w:hAnsi="Noto Serif CJK SC" w:eastAsia="Noto Serif CJK SC"/>
          <w:b w:val="0"/>
          <w:sz w:val="28"/>
        </w:rPr>
        <w:t>评估数据质量、模型表现、报告使用、平台运行和场景推进情况，确定下一季度优化任务。</w:t>
      </w:r>
    </w:p>
    <w:p>
      <w:pPr>
        <w:pStyle w:val="CompactList"/>
      </w:pPr>
      <w:r>
        <w:rPr>
          <w:rFonts w:ascii="Noto Serif CJK SC" w:hAnsi="Noto Serif CJK SC" w:eastAsia="Noto Serif CJK SC"/>
          <w:b/>
          <w:sz w:val="28"/>
        </w:rPr>
        <w:t>三是建立重点时段会商机制。</w:t>
      </w:r>
      <w:r>
        <w:rPr>
          <w:rFonts w:ascii="Noto Serif CJK SC" w:hAnsi="Noto Serif CJK SC" w:eastAsia="Noto Serif CJK SC"/>
          <w:b w:val="0"/>
          <w:sz w:val="28"/>
        </w:rPr>
        <w:t>迎峰度夏、迎峰度冬、极端天气和重大事件期间，根据需要启动专项数据准备、风险研判和专题专报。</w:t>
      </w:r>
    </w:p>
    <w:p>
      <w:pPr>
        <w:pStyle w:val="CompactList"/>
      </w:pPr>
      <w:r>
        <w:rPr>
          <w:rFonts w:ascii="Noto Serif CJK SC" w:hAnsi="Noto Serif CJK SC" w:eastAsia="Noto Serif CJK SC"/>
          <w:b/>
          <w:sz w:val="28"/>
        </w:rPr>
        <w:t>四是建立版本发布机制。</w:t>
      </w:r>
      <w:r>
        <w:rPr>
          <w:rFonts w:ascii="Noto Serif CJK SC" w:hAnsi="Noto Serif CJK SC" w:eastAsia="Noto Serif CJK SC"/>
          <w:b w:val="0"/>
          <w:sz w:val="28"/>
        </w:rPr>
        <w:t>正式成果执行数据、模型、报告、审核和归档统一管理，重大调整形成书面说明。</w:t>
      </w:r>
    </w:p>
    <w:p>
      <w:pPr>
        <w:pStyle w:val="CompactList"/>
      </w:pPr>
      <w:r>
        <w:rPr>
          <w:rFonts w:ascii="Noto Serif CJK SC" w:hAnsi="Noto Serif CJK SC" w:eastAsia="Noto Serif CJK SC"/>
          <w:b/>
          <w:sz w:val="28"/>
        </w:rPr>
        <w:t>五是建立外部协同机制。</w:t>
      </w:r>
      <w:r>
        <w:rPr>
          <w:rFonts w:ascii="Noto Serif CJK SC" w:hAnsi="Noto Serif CJK SC" w:eastAsia="Noto Serif CJK SC"/>
          <w:b w:val="0"/>
          <w:sz w:val="28"/>
        </w:rPr>
        <w:t>按照数据和场景清单与有关单位开展对接，明确合作目标、责任边界、成果回馈和保密要求。</w:t>
      </w:r>
    </w:p>
    <w:p>
      <w:pPr>
        <w:pStyle w:val="CompactList"/>
      </w:pPr>
      <w:r>
        <w:rPr>
          <w:rFonts w:ascii="Noto Serif CJK SC" w:hAnsi="Noto Serif CJK SC" w:eastAsia="Noto Serif CJK SC"/>
          <w:b/>
          <w:sz w:val="28"/>
        </w:rPr>
        <w:t>六是建立阶段验收机制。</w:t>
      </w:r>
      <w:r>
        <w:rPr>
          <w:rFonts w:ascii="Noto Serif CJK SC" w:hAnsi="Noto Serif CJK SC" w:eastAsia="Noto Serif CJK SC"/>
          <w:b w:val="0"/>
          <w:sz w:val="28"/>
        </w:rPr>
        <w:t>按照数据、模型、产品和机制四类成果开展验收，既检查功能建设，也检查实际运行和成果使用情况。</w:t>
      </w:r>
    </w:p>
    <w:p>
      <w:pPr>
        <w:pStyle w:val="Heading2"/>
      </w:pPr>
      <w:r>
        <w:rPr>
          <w:rFonts w:ascii="Noto Sans CJK SC" w:hAnsi="Noto Sans CJK SC" w:eastAsia="Noto Sans CJK SC"/>
          <w:b/>
          <w:sz w:val="32"/>
        </w:rPr>
        <w:t>（三）分四个阶段推进能力建设</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211"/>
        <w:gridCol w:w="2211"/>
        <w:gridCol w:w="2211"/>
        <w:gridCol w:w="2211"/>
      </w:tblGrid>
      <w:tr>
        <w:trPr>
          <w:tblHeader w:val="true"/>
        </w:trPr>
        <w:tc>
          <w:tcPr>
            <w:tcW w:type="dxa" w:w="1474"/>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阶段</w:t>
            </w:r>
          </w:p>
        </w:tc>
        <w:tc>
          <w:tcPr>
            <w:tcW w:type="dxa" w:w="1304"/>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时间安排</w:t>
            </w:r>
          </w:p>
        </w:tc>
        <w:tc>
          <w:tcPr>
            <w:tcW w:type="dxa" w:w="3969"/>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重点任务</w:t>
            </w:r>
          </w:p>
        </w:tc>
        <w:tc>
          <w:tcPr>
            <w:tcW w:type="dxa" w:w="272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主要成果</w:t>
            </w:r>
          </w:p>
        </w:tc>
      </w:tr>
      <w:tr>
        <w:trPr>
          <w:cantSplit/>
        </w:trPr>
        <w:tc>
          <w:tcPr>
            <w:tcW w:type="dxa" w:w="147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夯基启动</w:t>
            </w:r>
          </w:p>
        </w:tc>
        <w:tc>
          <w:tcPr>
            <w:tcW w:type="dxa" w:w="130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0—3个月</w:t>
            </w:r>
          </w:p>
        </w:tc>
        <w:tc>
          <w:tcPr>
            <w:tcW w:type="dxa" w:w="396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成立工作专班，完成数据、系统、模型和发布流程摸底；形成业务规则、数据目录、指标字典、首期场景方案和原型设计。</w:t>
            </w:r>
          </w:p>
        </w:tc>
        <w:tc>
          <w:tcPr>
            <w:tcW w:type="dxa" w:w="272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项目章程、数据目录和指标字典第一版、业务流程、报告模板、原型方案。</w:t>
            </w:r>
          </w:p>
        </w:tc>
      </w:tr>
      <w:tr>
        <w:trPr>
          <w:cantSplit/>
        </w:trPr>
        <w:tc>
          <w:tcPr>
            <w:tcW w:type="dxa" w:w="147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一期成型</w:t>
            </w:r>
          </w:p>
        </w:tc>
        <w:tc>
          <w:tcPr>
            <w:tcW w:type="dxa" w:w="130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3—9个月</w:t>
            </w:r>
          </w:p>
        </w:tc>
        <w:tc>
          <w:tcPr>
            <w:tcW w:type="dxa" w:w="396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建设核心数据接入、质量规则、基准预测、模型修正、报告自动化和人工审校流程。</w:t>
            </w:r>
          </w:p>
        </w:tc>
        <w:tc>
          <w:tcPr>
            <w:tcW w:type="dxa" w:w="272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月度预测和报告生产闭环、年度报告自动化原型、基础看板、复盘机制。</w:t>
            </w:r>
          </w:p>
        </w:tc>
      </w:tr>
      <w:tr>
        <w:trPr>
          <w:cantSplit/>
        </w:trPr>
        <w:tc>
          <w:tcPr>
            <w:tcW w:type="dxa" w:w="147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能力扩展</w:t>
            </w:r>
          </w:p>
        </w:tc>
        <w:tc>
          <w:tcPr>
            <w:tcW w:type="dxa" w:w="130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9—18个月</w:t>
            </w:r>
          </w:p>
        </w:tc>
        <w:tc>
          <w:tcPr>
            <w:tcW w:type="dxa" w:w="396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完善季度滚动、层级一致、区间预测、区域风险展示和重点时段专题能力，选择样板区域验证。</w:t>
            </w:r>
          </w:p>
        </w:tc>
        <w:tc>
          <w:tcPr>
            <w:tcW w:type="dxa" w:w="272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季报模型、区域风险图、专题专报模板、样板场景和服务目录。</w:t>
            </w:r>
          </w:p>
        </w:tc>
      </w:tr>
      <w:tr>
        <w:trPr>
          <w:cantSplit/>
        </w:trPr>
        <w:tc>
          <w:tcPr>
            <w:tcW w:type="dxa" w:w="147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深化运行</w:t>
            </w:r>
          </w:p>
        </w:tc>
        <w:tc>
          <w:tcPr>
            <w:tcW w:type="dxa" w:w="130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18—36个月</w:t>
            </w:r>
          </w:p>
        </w:tc>
        <w:tc>
          <w:tcPr>
            <w:tcW w:type="dxa" w:w="396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结合实际需求拓展新能源、需求响应、储能充电和市场交易等场景，完善持续运营和年度评估。</w:t>
            </w:r>
          </w:p>
        </w:tc>
        <w:tc>
          <w:tcPr>
            <w:tcW w:type="dxa" w:w="272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可复制场景包、年度模型评估、标准化服务产品和常态化运行机制。</w:t>
            </w:r>
          </w:p>
        </w:tc>
      </w:tr>
    </w:tbl>
    <w:p>
      <w:pPr>
        <w:pStyle w:val="Heading2"/>
      </w:pPr>
      <w:r>
        <w:rPr>
          <w:rFonts w:ascii="Noto Sans CJK SC" w:hAnsi="Noto Sans CJK SC" w:eastAsia="Noto Sans CJK SC"/>
          <w:b/>
          <w:sz w:val="32"/>
        </w:rPr>
        <w:t>（四）采取全国总盘与样板验证相结合的推进方式</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试点类型</w:t>
            </w:r>
          </w:p>
        </w:tc>
        <w:tc>
          <w:tcPr>
            <w:tcW w:type="dxa" w:w="385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范围选择</w:t>
            </w:r>
          </w:p>
        </w:tc>
        <w:tc>
          <w:tcPr>
            <w:tcW w:type="dxa" w:w="3912"/>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阶段目标</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全国总盘</w:t>
            </w:r>
          </w:p>
        </w:tc>
        <w:tc>
          <w:tcPr>
            <w:tcW w:type="dxa" w:w="385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全社会用电量、最大负荷、装机、发电量、利用小时、交易互济等全国口径。</w:t>
            </w:r>
          </w:p>
        </w:tc>
        <w:tc>
          <w:tcPr>
            <w:tcW w:type="dxa" w:w="391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优先使用现有统计体系和公开权威数据，形成月度、季度和年度分析主闭环。</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区域样板</w:t>
            </w:r>
          </w:p>
        </w:tc>
        <w:tc>
          <w:tcPr>
            <w:tcW w:type="dxa" w:w="385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选择1—2个负荷增长、新能源占比或跨区互济特征明显的区域。</w:t>
            </w:r>
          </w:p>
        </w:tc>
        <w:tc>
          <w:tcPr>
            <w:tcW w:type="dxa" w:w="391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验证区域平衡、风险图和跨来源数据治理方法。</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重点省份</w:t>
            </w:r>
          </w:p>
        </w:tc>
        <w:tc>
          <w:tcPr>
            <w:tcW w:type="dxa" w:w="385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选择迎峰压力较大、新能源占比较高或协同基础较好的省份。</w:t>
            </w:r>
          </w:p>
        </w:tc>
        <w:tc>
          <w:tcPr>
            <w:tcW w:type="dxa" w:w="391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形成重点省份风险清单和专题会商样板。</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专题样板</w:t>
            </w:r>
          </w:p>
        </w:tc>
        <w:tc>
          <w:tcPr>
            <w:tcW w:type="dxa" w:w="385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从新能源高占比、需求响应、储能充电等方向选择数据条件较好的一个场景。</w:t>
            </w:r>
          </w:p>
        </w:tc>
        <w:tc>
          <w:tcPr>
            <w:tcW w:type="dxa" w:w="391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形成可复用的专题分析方法和成果模板。</w:t>
            </w:r>
          </w:p>
        </w:tc>
      </w:tr>
    </w:tbl>
    <w:p>
      <w:pPr>
        <w:pStyle w:val="Heading2"/>
      </w:pPr>
      <w:r>
        <w:rPr>
          <w:rFonts w:ascii="Noto Sans CJK SC" w:hAnsi="Noto Sans CJK SC" w:eastAsia="Noto Sans CJK SC"/>
          <w:b/>
          <w:sz w:val="32"/>
        </w:rPr>
        <w:t>（五）抓紧做好前100天重点工作</w:t>
      </w:r>
    </w:p>
    <w:p>
      <w:pPr>
        <w:pStyle w:val="CompactList"/>
        <w:spacing w:line="440" w:lineRule="exact"/>
      </w:pPr>
      <w:r>
        <w:rPr>
          <w:rFonts w:ascii="Noto Serif CJK SC" w:hAnsi="Noto Serif CJK SC" w:eastAsia="Noto Serif CJK SC"/>
          <w:b/>
          <w:sz w:val="26"/>
        </w:rPr>
        <w:t>一是完成任务部署。</w:t>
      </w:r>
      <w:r>
        <w:rPr>
          <w:rFonts w:ascii="Noto Serif CJK SC" w:hAnsi="Noto Serif CJK SC" w:eastAsia="Noto Serif CJK SC"/>
          <w:b w:val="0"/>
          <w:sz w:val="26"/>
        </w:rPr>
        <w:t>明确工作定位、牵头处室、专班组成和阶段任务。</w:t>
      </w:r>
    </w:p>
    <w:p>
      <w:pPr>
        <w:pStyle w:val="CompactList"/>
        <w:spacing w:line="440" w:lineRule="exact"/>
      </w:pPr>
      <w:r>
        <w:rPr>
          <w:rFonts w:ascii="Noto Serif CJK SC" w:hAnsi="Noto Serif CJK SC" w:eastAsia="Noto Serif CJK SC"/>
          <w:b/>
          <w:sz w:val="26"/>
        </w:rPr>
        <w:t>二是开展资源摸底。</w:t>
      </w:r>
      <w:r>
        <w:rPr>
          <w:rFonts w:ascii="Noto Serif CJK SC" w:hAnsi="Noto Serif CJK SC" w:eastAsia="Noto Serif CJK SC"/>
          <w:b w:val="0"/>
          <w:sz w:val="26"/>
        </w:rPr>
        <w:t>梳理现有数据、系统、模型、算力、安全设施、报告流程和人员能力，形成现状清单。</w:t>
      </w:r>
    </w:p>
    <w:p>
      <w:pPr>
        <w:pStyle w:val="CompactList"/>
        <w:spacing w:line="440" w:lineRule="exact"/>
      </w:pPr>
      <w:r>
        <w:rPr>
          <w:rFonts w:ascii="Noto Serif CJK SC" w:hAnsi="Noto Serif CJK SC" w:eastAsia="Noto Serif CJK SC"/>
          <w:b/>
          <w:sz w:val="26"/>
        </w:rPr>
        <w:t>三是确定首期业务规则。</w:t>
      </w:r>
      <w:r>
        <w:rPr>
          <w:rFonts w:ascii="Noto Serif CJK SC" w:hAnsi="Noto Serif CJK SC" w:eastAsia="Noto Serif CJK SC"/>
          <w:b w:val="0"/>
          <w:sz w:val="26"/>
        </w:rPr>
        <w:t>固化月报、季报和年度报告的预测对象、指标口径、报告结构、审校流程和发布边界。</w:t>
      </w:r>
    </w:p>
    <w:p>
      <w:pPr>
        <w:pStyle w:val="CompactList"/>
        <w:spacing w:line="440" w:lineRule="exact"/>
      </w:pPr>
      <w:r>
        <w:rPr>
          <w:rFonts w:ascii="Noto Serif CJK SC" w:hAnsi="Noto Serif CJK SC" w:eastAsia="Noto Serif CJK SC"/>
          <w:b/>
          <w:sz w:val="26"/>
        </w:rPr>
        <w:t>四是形成首批数据清单。</w:t>
      </w:r>
      <w:r>
        <w:rPr>
          <w:rFonts w:ascii="Noto Serif CJK SC" w:hAnsi="Noto Serif CJK SC" w:eastAsia="Noto Serif CJK SC"/>
          <w:b w:val="0"/>
          <w:sz w:val="26"/>
        </w:rPr>
        <w:t>明确字段、来源、粒度、频率、责任单位、授权状态和替代方案。</w:t>
      </w:r>
    </w:p>
    <w:p>
      <w:pPr>
        <w:pStyle w:val="CompactList"/>
        <w:spacing w:line="440" w:lineRule="exact"/>
      </w:pPr>
      <w:r>
        <w:rPr>
          <w:rFonts w:ascii="Noto Serif CJK SC" w:hAnsi="Noto Serif CJK SC" w:eastAsia="Noto Serif CJK SC"/>
          <w:b/>
          <w:sz w:val="26"/>
        </w:rPr>
        <w:t>五是建设最小可用原型。</w:t>
      </w:r>
      <w:r>
        <w:rPr>
          <w:rFonts w:ascii="Noto Serif CJK SC" w:hAnsi="Noto Serif CJK SC" w:eastAsia="Noto Serif CJK SC"/>
          <w:b w:val="0"/>
          <w:sz w:val="26"/>
        </w:rPr>
        <w:t>实现数据导入、质量检查、基准分析、报告草稿、人工审校和版本归档。</w:t>
      </w:r>
    </w:p>
    <w:p>
      <w:pPr>
        <w:pStyle w:val="CompactList"/>
        <w:spacing w:line="440" w:lineRule="exact"/>
      </w:pPr>
      <w:r>
        <w:rPr>
          <w:rFonts w:ascii="Noto Serif CJK SC" w:hAnsi="Noto Serif CJK SC" w:eastAsia="Noto Serif CJK SC"/>
          <w:b/>
          <w:sz w:val="26"/>
        </w:rPr>
        <w:t>六是开展外部协同。</w:t>
      </w:r>
      <w:r>
        <w:rPr>
          <w:rFonts w:ascii="Noto Serif CJK SC" w:hAnsi="Noto Serif CJK SC" w:eastAsia="Noto Serif CJK SC"/>
          <w:b w:val="0"/>
          <w:sz w:val="26"/>
        </w:rPr>
        <w:t>优先对接电网、发电、交易、气象和重点行业数据来源，形成首批合作事项。</w:t>
      </w:r>
    </w:p>
    <w:p>
      <w:pPr>
        <w:pStyle w:val="CompactList"/>
        <w:spacing w:line="440" w:lineRule="exact"/>
      </w:pPr>
      <w:r>
        <w:rPr>
          <w:rFonts w:ascii="Noto Serif CJK SC" w:hAnsi="Noto Serif CJK SC" w:eastAsia="Noto Serif CJK SC"/>
          <w:b/>
          <w:sz w:val="26"/>
        </w:rPr>
        <w:t>七是细化一期任务书。</w:t>
      </w:r>
      <w:r>
        <w:rPr>
          <w:rFonts w:ascii="Noto Serif CJK SC" w:hAnsi="Noto Serif CJK SC" w:eastAsia="Noto Serif CJK SC"/>
          <w:b w:val="0"/>
          <w:sz w:val="26"/>
        </w:rPr>
        <w:t>明确建设边界、成果清单、验收指标、进度计划和知识资产归属。</w:t>
      </w:r>
    </w:p>
    <w:p>
      <w:pPr>
        <w:pStyle w:val="CompactList"/>
        <w:spacing w:line="440" w:lineRule="exact"/>
      </w:pPr>
      <w:r>
        <w:rPr>
          <w:rFonts w:ascii="Noto Serif CJK SC" w:hAnsi="Noto Serif CJK SC" w:eastAsia="Noto Serif CJK SC"/>
          <w:b/>
          <w:sz w:val="26"/>
        </w:rPr>
        <w:t>八是完成投资校核。</w:t>
      </w:r>
      <w:r>
        <w:rPr>
          <w:rFonts w:ascii="Noto Serif CJK SC" w:hAnsi="Noto Serif CJK SC" w:eastAsia="Noto Serif CJK SC"/>
          <w:b w:val="0"/>
          <w:sz w:val="26"/>
        </w:rPr>
        <w:t>结合存量复用和首期范围，形成分项预算及运行费用安排。</w:t>
      </w:r>
    </w:p>
    <w:p>
      <w:pPr>
        <w:pStyle w:val="Heading1"/>
      </w:pPr>
      <w:r>
        <w:rPr>
          <w:rFonts w:ascii="Noto Sans CJK SC" w:hAnsi="Noto Sans CJK SC" w:eastAsia="Noto Sans CJK SC"/>
          <w:b/>
          <w:color w:val="123B66"/>
          <w:sz w:val="36"/>
        </w:rPr>
        <w:t>七、资源保障与风险控制</w:t>
      </w:r>
    </w:p>
    <w:p>
      <w:r>
        <w:rPr>
          <w:rFonts w:ascii="Noto Serif CJK SC" w:hAnsi="Noto Serif CJK SC" w:eastAsia="Noto Serif CJK SC"/>
          <w:b w:val="0"/>
          <w:sz w:val="28"/>
        </w:rPr>
        <w:t>能力体系建设和长期运行需要数据、人员、技术、资金和安全条件协同保障。资源配置围绕首期核心场景和阶段成果安排，风险管理贯穿数据接入、预测分析、系统运行、成果发布和外部协同全过程。</w:t>
      </w:r>
    </w:p>
    <w:p>
      <w:pPr>
        <w:pStyle w:val="Heading2"/>
      </w:pPr>
      <w:r>
        <w:rPr>
          <w:rFonts w:ascii="Noto Sans CJK SC" w:hAnsi="Noto Sans CJK SC" w:eastAsia="Noto Sans CJK SC"/>
          <w:b/>
          <w:sz w:val="32"/>
        </w:rPr>
        <w:t>（一）统筹配置建设和运行资源</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4422"/>
        <w:gridCol w:w="4422"/>
      </w:tblGrid>
      <w:tr>
        <w:trPr>
          <w:tblHeader w:val="true"/>
        </w:trPr>
        <w:tc>
          <w:tcPr>
            <w:tcW w:type="dxa" w:w="187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保障领域</w:t>
            </w:r>
          </w:p>
        </w:tc>
        <w:tc>
          <w:tcPr>
            <w:tcW w:type="dxa" w:w="7597"/>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主要安排</w:t>
            </w:r>
          </w:p>
        </w:tc>
      </w:tr>
      <w:tr>
        <w:trPr>
          <w:cantSplit/>
        </w:trPr>
        <w:tc>
          <w:tcPr>
            <w:tcW w:type="dxa" w:w="187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数据保障</w:t>
            </w:r>
          </w:p>
        </w:tc>
        <w:tc>
          <w:tcPr>
            <w:tcW w:type="dxa" w:w="759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以中电联统计资源为基础，推动电网、发电、交易、气象、宏观和新型主体数据分级接入；建立数据责任清单和协同机制。</w:t>
            </w:r>
          </w:p>
        </w:tc>
      </w:tr>
      <w:tr>
        <w:trPr>
          <w:cantSplit/>
        </w:trPr>
        <w:tc>
          <w:tcPr>
            <w:tcW w:type="dxa" w:w="187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专业力量</w:t>
            </w:r>
          </w:p>
        </w:tc>
        <w:tc>
          <w:tcPr>
            <w:tcW w:type="dxa" w:w="759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内部主导供需分析、指标口径、成果发布、数据治理和安全管理；外部团队补充数据工程、模型工程、平台开发和测试运维能力。</w:t>
            </w:r>
          </w:p>
        </w:tc>
      </w:tr>
      <w:tr>
        <w:trPr>
          <w:cantSplit/>
        </w:trPr>
        <w:tc>
          <w:tcPr>
            <w:tcW w:type="dxa" w:w="187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技术条件</w:t>
            </w:r>
          </w:p>
        </w:tc>
        <w:tc>
          <w:tcPr>
            <w:tcW w:type="dxa" w:w="759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统筹存量系统、数据库、计算资源、安全设施和报告工具，优先复用成熟能力，按业务需要补充时序数据、模型管理和报告引擎。</w:t>
            </w:r>
          </w:p>
        </w:tc>
      </w:tr>
      <w:tr>
        <w:trPr>
          <w:cantSplit/>
        </w:trPr>
        <w:tc>
          <w:tcPr>
            <w:tcW w:type="dxa" w:w="187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资金安排</w:t>
            </w:r>
          </w:p>
        </w:tc>
        <w:tc>
          <w:tcPr>
            <w:tcW w:type="dxa" w:w="759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按照分阶段建设、分节点验收和分场景扩展安排预算，建设投入与年度运行费用分别测算。</w:t>
            </w:r>
          </w:p>
        </w:tc>
      </w:tr>
      <w:tr>
        <w:trPr>
          <w:cantSplit/>
        </w:trPr>
        <w:tc>
          <w:tcPr>
            <w:tcW w:type="dxa" w:w="187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专家资源</w:t>
            </w:r>
          </w:p>
        </w:tc>
        <w:tc>
          <w:tcPr>
            <w:tcW w:type="dxa" w:w="759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建立覆盖供需、统计、市场、新能源、气象、数据和安全等专业方向的专家支撑机制。</w:t>
            </w:r>
          </w:p>
        </w:tc>
      </w:tr>
      <w:tr>
        <w:trPr>
          <w:cantSplit/>
        </w:trPr>
        <w:tc>
          <w:tcPr>
            <w:tcW w:type="dxa" w:w="187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生态协同</w:t>
            </w:r>
          </w:p>
        </w:tc>
        <w:tc>
          <w:tcPr>
            <w:tcW w:type="dxa" w:w="759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与电网企业、发电集团、交易机构、气象机构、科研院所、地方协会和技术单位形成稳定合作。</w:t>
            </w:r>
          </w:p>
        </w:tc>
      </w:tr>
    </w:tbl>
    <w:p>
      <w:pPr>
        <w:pStyle w:val="Heading2"/>
      </w:pPr>
      <w:r>
        <w:rPr>
          <w:rFonts w:ascii="Noto Sans CJK SC" w:hAnsi="Noto Sans CJK SC" w:eastAsia="Noto Sans CJK SC"/>
          <w:b/>
          <w:sz w:val="32"/>
        </w:rPr>
        <w:t>（二）根据建设边界分类测算投资</w:t>
      </w:r>
    </w:p>
    <w:p>
      <w:r>
        <w:rPr>
          <w:rFonts w:ascii="Noto Serif CJK SC" w:hAnsi="Noto Serif CJK SC" w:eastAsia="Noto Serif CJK SC"/>
          <w:b w:val="0"/>
          <w:sz w:val="28"/>
        </w:rPr>
        <w:t>投资规模根据存量系统复用程度、数据采购范围、平台建设深度、安全和灾备要求、专题场景数量以及外部服务方式确定。立项阶段可按不同建设规模开展测算，最终以专项论证、采购方案和财务批复为准。</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211"/>
        <w:gridCol w:w="2211"/>
        <w:gridCol w:w="2211"/>
        <w:gridCol w:w="2211"/>
      </w:tblGrid>
      <w:tr>
        <w:trPr>
          <w:tblHeader w:val="true"/>
        </w:trPr>
        <w:tc>
          <w:tcPr>
            <w:tcW w:type="dxa" w:w="1587"/>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建设规模</w:t>
            </w:r>
          </w:p>
        </w:tc>
        <w:tc>
          <w:tcPr>
            <w:tcW w:type="dxa" w:w="1757"/>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三年新增预算参考</w:t>
            </w:r>
          </w:p>
        </w:tc>
        <w:tc>
          <w:tcPr>
            <w:tcW w:type="dxa" w:w="379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主要配置</w:t>
            </w:r>
          </w:p>
        </w:tc>
        <w:tc>
          <w:tcPr>
            <w:tcW w:type="dxa" w:w="2324"/>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适用条件</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精简建设</w:t>
            </w:r>
          </w:p>
        </w:tc>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约300万—450万元</w:t>
            </w:r>
          </w:p>
        </w:tc>
        <w:tc>
          <w:tcPr>
            <w:tcW w:type="dxa" w:w="379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以复用存量系统为主，建设轻量数据底座、基础预测、报告自动化和基础看板。</w:t>
            </w:r>
          </w:p>
        </w:tc>
        <w:tc>
          <w:tcPr>
            <w:tcW w:type="dxa" w:w="232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适用于先形成全国总盘和两项首期场景闭环。</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一期及扩展建设</w:t>
            </w:r>
          </w:p>
        </w:tc>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约700万—1000万元</w:t>
            </w:r>
          </w:p>
        </w:tc>
        <w:tc>
          <w:tcPr>
            <w:tcW w:type="dxa" w:w="379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形成较完整的数据治理、模型管理、报告引擎、区域分析、专题场景和安全运维能力。</w:t>
            </w:r>
          </w:p>
        </w:tc>
        <w:tc>
          <w:tcPr>
            <w:tcW w:type="dxa" w:w="232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作为兼顾首期落地和后续扩展的主要测算范围。</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综合能力建设</w:t>
            </w:r>
          </w:p>
        </w:tc>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约3000万—5000万元</w:t>
            </w:r>
          </w:p>
        </w:tc>
        <w:tc>
          <w:tcPr>
            <w:tcW w:type="dxa" w:w="379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增加多区域节点、高可用与灾备、跨主体高敏数据协同和规模化服务能力。</w:t>
            </w:r>
          </w:p>
        </w:tc>
        <w:tc>
          <w:tcPr>
            <w:tcW w:type="dxa" w:w="232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在全国多主体、高频分析和持续运营需求明确后论证。</w:t>
            </w:r>
          </w:p>
        </w:tc>
      </w:tr>
    </w:tbl>
    <w:p>
      <w:r>
        <w:rPr>
          <w:rFonts w:ascii="Noto Serif CJK SC" w:hAnsi="Noto Serif CJK SC" w:eastAsia="Noto Serif CJK SC"/>
          <w:b w:val="0"/>
          <w:sz w:val="28"/>
        </w:rPr>
        <w:t>预算构成包括原型和应用建设、数据和接口服务、平台基础能力、安全合规、运行维护、专家会商和标准化等费用。采购和合同中明确数据、代码、模型、配置、文档、知识库和成果模板等资产的归属及移交要求。</w:t>
      </w:r>
    </w:p>
    <w:p>
      <w:pPr>
        <w:pStyle w:val="Heading2"/>
      </w:pPr>
      <w:r>
        <w:rPr>
          <w:rFonts w:ascii="Noto Sans CJK SC" w:hAnsi="Noto Sans CJK SC" w:eastAsia="Noto Sans CJK SC"/>
          <w:b/>
          <w:sz w:val="32"/>
        </w:rPr>
        <w:t>（三）落实数据安全、网络安全和成果发布要求</w:t>
      </w:r>
    </w:p>
    <w:p>
      <w:pPr>
        <w:pStyle w:val="CompactList"/>
      </w:pPr>
      <w:r>
        <w:rPr>
          <w:rFonts w:ascii="Noto Serif CJK SC" w:hAnsi="Noto Serif CJK SC" w:eastAsia="Noto Serif CJK SC"/>
          <w:b/>
          <w:sz w:val="28"/>
        </w:rPr>
        <w:t>一是实行数据分类分级。</w:t>
      </w:r>
      <w:r>
        <w:rPr>
          <w:rFonts w:ascii="Noto Serif CJK SC" w:hAnsi="Noto Serif CJK SC" w:eastAsia="Noto Serif CJK SC"/>
          <w:b w:val="0"/>
          <w:sz w:val="28"/>
        </w:rPr>
        <w:t>识别一般数据、重要数据、敏感经营数据和用户侧数据，分别确定接入、存储、加工、共享和销毁规则。</w:t>
      </w:r>
    </w:p>
    <w:p>
      <w:pPr>
        <w:pStyle w:val="CompactList"/>
      </w:pPr>
      <w:r>
        <w:rPr>
          <w:rFonts w:ascii="Noto Serif CJK SC" w:hAnsi="Noto Serif CJK SC" w:eastAsia="Noto Serif CJK SC"/>
          <w:b/>
          <w:sz w:val="28"/>
        </w:rPr>
        <w:t>二是实行最小权限和用途限定。</w:t>
      </w:r>
      <w:r>
        <w:rPr>
          <w:rFonts w:ascii="Noto Serif CJK SC" w:hAnsi="Noto Serif CJK SC" w:eastAsia="Noto Serif CJK SC"/>
          <w:b w:val="0"/>
          <w:sz w:val="28"/>
        </w:rPr>
        <w:t>按照岗位、场景和任务授权，敏感数据只在必要范围内使用，禁止超范围调用和二次扩散。</w:t>
      </w:r>
    </w:p>
    <w:p>
      <w:pPr>
        <w:pStyle w:val="CompactList"/>
      </w:pPr>
      <w:r>
        <w:rPr>
          <w:rFonts w:ascii="Noto Serif CJK SC" w:hAnsi="Noto Serif CJK SC" w:eastAsia="Noto Serif CJK SC"/>
          <w:b/>
          <w:sz w:val="28"/>
        </w:rPr>
        <w:t>三是加强技术防护和审计。</w:t>
      </w:r>
      <w:r>
        <w:rPr>
          <w:rFonts w:ascii="Noto Serif CJK SC" w:hAnsi="Noto Serif CJK SC" w:eastAsia="Noto Serif CJK SC"/>
          <w:b w:val="0"/>
          <w:sz w:val="28"/>
        </w:rPr>
        <w:t>落实身份认证、密钥管理、传输和存储保护、接口控制、日志审计、漏洞管理、备份恢复和应急处置。</w:t>
      </w:r>
    </w:p>
    <w:p>
      <w:pPr>
        <w:pStyle w:val="CompactList"/>
      </w:pPr>
      <w:r>
        <w:rPr>
          <w:rFonts w:ascii="Noto Serif CJK SC" w:hAnsi="Noto Serif CJK SC" w:eastAsia="Noto Serif CJK SC"/>
          <w:b/>
          <w:sz w:val="28"/>
        </w:rPr>
        <w:t>四是规范智能工具使用。</w:t>
      </w:r>
      <w:r>
        <w:rPr>
          <w:rFonts w:ascii="Noto Serif CJK SC" w:hAnsi="Noto Serif CJK SC" w:eastAsia="Noto Serif CJK SC"/>
          <w:b w:val="0"/>
          <w:sz w:val="28"/>
        </w:rPr>
        <w:t>明确可使用的数据范围、模型环境、输出审校和记录要求，防止敏感数据进入未经授权的外部环境。</w:t>
      </w:r>
    </w:p>
    <w:p>
      <w:pPr>
        <w:pStyle w:val="CompactList"/>
      </w:pPr>
      <w:r>
        <w:rPr>
          <w:rFonts w:ascii="Noto Serif CJK SC" w:hAnsi="Noto Serif CJK SC" w:eastAsia="Noto Serif CJK SC"/>
          <w:b/>
          <w:sz w:val="28"/>
        </w:rPr>
        <w:t>五是实行成果分级发布。</w:t>
      </w:r>
      <w:r>
        <w:rPr>
          <w:rFonts w:ascii="Noto Serif CJK SC" w:hAnsi="Noto Serif CJK SC" w:eastAsia="Noto Serif CJK SC"/>
          <w:b w:val="0"/>
          <w:sz w:val="28"/>
        </w:rPr>
        <w:t>按照内部测算、会商研判、领导参阅和对外发布明确内容边界、使用范围和审核程序。</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211"/>
        <w:gridCol w:w="2211"/>
        <w:gridCol w:w="2211"/>
        <w:gridCol w:w="2211"/>
      </w:tblGrid>
      <w:tr>
        <w:trPr>
          <w:tblHeader w:val="true"/>
        </w:trPr>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成果层级</w:t>
            </w:r>
          </w:p>
        </w:tc>
        <w:tc>
          <w:tcPr>
            <w:tcW w:type="dxa" w:w="226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使用范围</w:t>
            </w:r>
          </w:p>
        </w:tc>
        <w:tc>
          <w:tcPr>
            <w:tcW w:type="dxa" w:w="323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内容边界</w:t>
            </w:r>
          </w:p>
        </w:tc>
        <w:tc>
          <w:tcPr>
            <w:tcW w:type="dxa" w:w="226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审核要求</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内部测算版</w:t>
            </w:r>
          </w:p>
        </w:tc>
        <w:tc>
          <w:tcPr>
            <w:tcW w:type="dxa" w:w="226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供需分析处及相关工作组。</w:t>
            </w:r>
          </w:p>
        </w:tc>
        <w:tc>
          <w:tcPr>
            <w:tcW w:type="dxa" w:w="323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原始预测、模型解释、数据问题和敏感提示。</w:t>
            </w:r>
          </w:p>
        </w:tc>
        <w:tc>
          <w:tcPr>
            <w:tcW w:type="dxa" w:w="226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业务和数据责任人审核。</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会商研判版</w:t>
            </w:r>
          </w:p>
        </w:tc>
        <w:tc>
          <w:tcPr>
            <w:tcW w:type="dxa" w:w="226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工作专班、专家和相关专业部门。</w:t>
            </w:r>
          </w:p>
        </w:tc>
        <w:tc>
          <w:tcPr>
            <w:tcW w:type="dxa" w:w="323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风险区间、情景判断、专家修正和需协调事项。</w:t>
            </w:r>
          </w:p>
        </w:tc>
        <w:tc>
          <w:tcPr>
            <w:tcW w:type="dxa" w:w="226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专家会商确认并记录调整。</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领导参阅版</w:t>
            </w:r>
          </w:p>
        </w:tc>
        <w:tc>
          <w:tcPr>
            <w:tcW w:type="dxa" w:w="226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中电联领导及重大事项协调机制。</w:t>
            </w:r>
          </w:p>
        </w:tc>
        <w:tc>
          <w:tcPr>
            <w:tcW w:type="dxa" w:w="323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核心判断、重点风险、趋势变化和建议事项。</w:t>
            </w:r>
          </w:p>
        </w:tc>
        <w:tc>
          <w:tcPr>
            <w:tcW w:type="dxa" w:w="226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牵头处室审核，重大结论按程序审定。</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对外发布版</w:t>
            </w:r>
          </w:p>
        </w:tc>
        <w:tc>
          <w:tcPr>
            <w:tcW w:type="dxa" w:w="226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会员单位、行业公众及外部沟通。</w:t>
            </w:r>
          </w:p>
        </w:tc>
        <w:tc>
          <w:tcPr>
            <w:tcW w:type="dxa" w:w="323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统一口径下的审定结论、必要假设和适用范围。</w:t>
            </w:r>
          </w:p>
        </w:tc>
        <w:tc>
          <w:tcPr>
            <w:tcW w:type="dxa" w:w="226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履行发布审核、保密审查和版本归档。</w:t>
            </w:r>
          </w:p>
        </w:tc>
      </w:tr>
    </w:tbl>
    <w:p>
      <w:pPr>
        <w:pStyle w:val="Heading2"/>
      </w:pPr>
      <w:r>
        <w:rPr>
          <w:rFonts w:ascii="Noto Sans CJK SC" w:hAnsi="Noto Sans CJK SC" w:eastAsia="Noto Sans CJK SC"/>
          <w:b/>
          <w:sz w:val="32"/>
        </w:rPr>
        <w:t>（四）加强重点风险全过程控制</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风险类别</w:t>
            </w:r>
          </w:p>
        </w:tc>
        <w:tc>
          <w:tcPr>
            <w:tcW w:type="dxa" w:w="3402"/>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主要表现</w:t>
            </w:r>
          </w:p>
        </w:tc>
        <w:tc>
          <w:tcPr>
            <w:tcW w:type="dxa" w:w="436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控制措施</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数据授权风险</w:t>
            </w:r>
          </w:p>
        </w:tc>
        <w:tc>
          <w:tcPr>
            <w:tcW w:type="dxa" w:w="340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数据来源和使用边界不清，敏感数据超范围使用。</w:t>
            </w:r>
          </w:p>
        </w:tc>
        <w:tc>
          <w:tcPr>
            <w:tcW w:type="dxa" w:w="43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建立授权台账、数据合同、用途限定和定期审计。</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数据质量风险</w:t>
            </w:r>
          </w:p>
        </w:tc>
        <w:tc>
          <w:tcPr>
            <w:tcW w:type="dxa" w:w="340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缺失、迟到、口径差异和历史修订影响分析结果。</w:t>
            </w:r>
          </w:p>
        </w:tc>
        <w:tc>
          <w:tcPr>
            <w:tcW w:type="dxa" w:w="43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建立质量规则、发布时点视图、替代数据和人工审校。</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模型偏差风险</w:t>
            </w:r>
          </w:p>
        </w:tc>
        <w:tc>
          <w:tcPr>
            <w:tcW w:type="dxa" w:w="340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极端天气、政策变化和结构跃迁导致预测失真。</w:t>
            </w:r>
          </w:p>
        </w:tc>
        <w:tc>
          <w:tcPr>
            <w:tcW w:type="dxa" w:w="43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采用多方法比较、区间判断、事件标签、滚动重训和专家会商。</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系统运行风险</w:t>
            </w:r>
          </w:p>
        </w:tc>
        <w:tc>
          <w:tcPr>
            <w:tcW w:type="dxa" w:w="340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接口中断、作业失败、平台不可用和数据丢失。</w:t>
            </w:r>
          </w:p>
        </w:tc>
        <w:tc>
          <w:tcPr>
            <w:tcW w:type="dxa" w:w="43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实行监控告警、自动重试、备份恢复、应急切换和故障复盘。</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成果发布风险</w:t>
            </w:r>
          </w:p>
        </w:tc>
        <w:tc>
          <w:tcPr>
            <w:tcW w:type="dxa" w:w="340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预测结论被误读、越界使用或对特定主体造成不当影响。</w:t>
            </w:r>
          </w:p>
        </w:tc>
        <w:tc>
          <w:tcPr>
            <w:tcW w:type="dxa" w:w="43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统一假设、边界和误差说明，实行分级审核和快速澄清。</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组织协同风险</w:t>
            </w:r>
          </w:p>
        </w:tc>
        <w:tc>
          <w:tcPr>
            <w:tcW w:type="dxa" w:w="340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职责不清、数据不到位、成果使用反馈不足。</w:t>
            </w:r>
          </w:p>
        </w:tc>
        <w:tc>
          <w:tcPr>
            <w:tcW w:type="dxa" w:w="43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明确牵头责任、任务清单、会商机制、阶段验收和领导协调。</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供应商依赖风险</w:t>
            </w:r>
          </w:p>
        </w:tc>
        <w:tc>
          <w:tcPr>
            <w:tcW w:type="dxa" w:w="340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关键技术和知识资产由单一外部单位掌握。</w:t>
            </w:r>
          </w:p>
        </w:tc>
        <w:tc>
          <w:tcPr>
            <w:tcW w:type="dxa" w:w="436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坚持开放架构、资产移交、文档完备和内部能力培养。</w:t>
            </w:r>
          </w:p>
        </w:tc>
      </w:tr>
    </w:tbl>
    <w:p>
      <w:pPr>
        <w:pStyle w:val="Heading2"/>
      </w:pPr>
      <w:r>
        <w:rPr>
          <w:rFonts w:ascii="Noto Sans CJK SC" w:hAnsi="Noto Sans CJK SC" w:eastAsia="Noto Sans CJK SC"/>
          <w:b/>
          <w:sz w:val="32"/>
        </w:rPr>
        <w:t>（五）建立持续运行和绩效评价机制</w:t>
      </w:r>
    </w:p>
    <w:p>
      <w:r>
        <w:rPr>
          <w:rFonts w:ascii="Noto Serif CJK SC" w:hAnsi="Noto Serif CJK SC" w:eastAsia="Noto Serif CJK SC"/>
          <w:b w:val="0"/>
          <w:sz w:val="28"/>
        </w:rPr>
        <w:t>建立月度复盘、季度评估、半年场景校核和年度综合评价机制。评价内容覆盖数据到位和质量情况、预测误差和方向命中、报告按期形成、成果使用反馈、平台稳定性、安全合规和预算执行。根据评价结果调整数据合作、模型方法、产品形态和资源投入，推动能力体系持续改进。</w:t>
      </w:r>
    </w:p>
    <w:p>
      <w:r>
        <w:br w:type="page"/>
      </w:r>
    </w:p>
    <w:p>
      <w:pPr>
        <w:pStyle w:val="Heading1"/>
      </w:pPr>
      <w:r>
        <w:rPr>
          <w:rFonts w:ascii="Noto Sans CJK SC" w:hAnsi="Noto Sans CJK SC" w:eastAsia="Noto Sans CJK SC"/>
          <w:b/>
          <w:color w:val="123B66"/>
          <w:sz w:val="36"/>
        </w:rPr>
        <w:t>八、需请领导审定事项</w:t>
      </w:r>
    </w:p>
    <w:p>
      <w:r>
        <w:rPr>
          <w:rFonts w:ascii="Noto Serif CJK SC" w:hAnsi="Noto Serif CJK SC" w:eastAsia="Noto Serif CJK SC"/>
          <w:b w:val="0"/>
          <w:sz w:val="28"/>
        </w:rPr>
        <w:t>为推动电力供需形势预测能力建设由总体设计转入实施，需请领导审定以下事项。</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587"/>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事项</w:t>
            </w:r>
          </w:p>
        </w:tc>
        <w:tc>
          <w:tcPr>
            <w:tcW w:type="dxa" w:w="453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建议审定内容</w:t>
            </w:r>
          </w:p>
        </w:tc>
        <w:tc>
          <w:tcPr>
            <w:tcW w:type="dxa" w:w="334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审定后推进动作</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工作定位</w:t>
            </w:r>
          </w:p>
        </w:tc>
        <w:tc>
          <w:tcPr>
            <w:tcW w:type="dxa" w:w="45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同意将电力供需形势预测工作定位为中电联行业级预测与预警公共能力建设。</w:t>
            </w:r>
          </w:p>
        </w:tc>
        <w:tc>
          <w:tcPr>
            <w:tcW w:type="dxa" w:w="334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纳入中电联行业服务和数字化能力建设统筹安排。</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牵头机制</w:t>
            </w:r>
          </w:p>
        </w:tc>
        <w:tc>
          <w:tcPr>
            <w:tcW w:type="dxa" w:w="45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同意由统计与数智部电力供需分析处牵头，建立跨部门工作专班和专家会商机制。</w:t>
            </w:r>
          </w:p>
        </w:tc>
        <w:tc>
          <w:tcPr>
            <w:tcW w:type="dxa" w:w="334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明确成员、职责、工作规则和日常推进安排。</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首期范围</w:t>
            </w:r>
          </w:p>
        </w:tc>
        <w:tc>
          <w:tcPr>
            <w:tcW w:type="dxa" w:w="45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同意将全国月度与季度供需形势分析、年度供需形势预测报告自动化作为首期核心场景。</w:t>
            </w:r>
          </w:p>
        </w:tc>
        <w:tc>
          <w:tcPr>
            <w:tcW w:type="dxa" w:w="334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启动业务规则、数据链路、预测分析、报告生产和原型建设。</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资源摸底</w:t>
            </w:r>
          </w:p>
        </w:tc>
        <w:tc>
          <w:tcPr>
            <w:tcW w:type="dxa" w:w="45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同意开展现有数据、系统、模型、算力、安全设施、人员能力和发布流程专项摸底。</w:t>
            </w:r>
          </w:p>
        </w:tc>
        <w:tc>
          <w:tcPr>
            <w:tcW w:type="dxa" w:w="334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形成现状评估、复用清单和一期任务书。</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外部协同</w:t>
            </w:r>
          </w:p>
        </w:tc>
        <w:tc>
          <w:tcPr>
            <w:tcW w:type="dxa" w:w="45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同意与电网企业、发电集团、交易机构、气象机构等建立数据和业务协同安排。</w:t>
            </w:r>
          </w:p>
        </w:tc>
        <w:tc>
          <w:tcPr>
            <w:tcW w:type="dxa" w:w="334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形成首批合作事项、数据清单和授权边界。</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建设路径</w:t>
            </w:r>
          </w:p>
        </w:tc>
        <w:tc>
          <w:tcPr>
            <w:tcW w:type="dxa" w:w="45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原则同意按照夯基启动、一期成型、能力扩展、深化运行四阶段推进。</w:t>
            </w:r>
          </w:p>
        </w:tc>
        <w:tc>
          <w:tcPr>
            <w:tcW w:type="dxa" w:w="334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细化进度计划、采购方案、投资测算和阶段验收标准。</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安全要求</w:t>
            </w:r>
          </w:p>
        </w:tc>
        <w:tc>
          <w:tcPr>
            <w:tcW w:type="dxa" w:w="45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同意将数据安全、网络安全、智能工具使用、成果分级发布和版本追溯作为建设硬约束。</w:t>
            </w:r>
          </w:p>
        </w:tc>
        <w:tc>
          <w:tcPr>
            <w:tcW w:type="dxa" w:w="334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同步形成安全方案、授权台账、审计规则和应急预案。</w:t>
            </w:r>
          </w:p>
        </w:tc>
      </w:tr>
    </w:tbl>
    <w:p>
      <w:r>
        <w:br w:type="page"/>
      </w:r>
    </w:p>
    <w:p>
      <w:pPr>
        <w:pStyle w:val="Heading1"/>
      </w:pPr>
      <w:r>
        <w:rPr>
          <w:rFonts w:ascii="Noto Sans CJK SC" w:hAnsi="Noto Sans CJK SC" w:eastAsia="Noto Sans CJK SC"/>
          <w:b/>
          <w:color w:val="123B66"/>
          <w:sz w:val="36"/>
        </w:rPr>
        <w:t>附件一  首期核心指标清单</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757"/>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指标类别</w:t>
            </w:r>
          </w:p>
        </w:tc>
        <w:tc>
          <w:tcPr>
            <w:tcW w:type="dxa" w:w="4876"/>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首期及拓展指标</w:t>
            </w:r>
          </w:p>
        </w:tc>
        <w:tc>
          <w:tcPr>
            <w:tcW w:type="dxa" w:w="283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主要用途</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需求指标</w:t>
            </w:r>
          </w:p>
        </w:tc>
        <w:tc>
          <w:tcPr>
            <w:tcW w:type="dxa" w:w="487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全社会用电量、分产业用电量、重点行业用电量、最大负荷、负荷率、同比和环比。</w:t>
            </w:r>
          </w:p>
        </w:tc>
        <w:tc>
          <w:tcPr>
            <w:tcW w:type="dxa" w:w="28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支撑用电增长、结构变化和尖峰压力判断。</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供给指标</w:t>
            </w:r>
          </w:p>
        </w:tc>
        <w:tc>
          <w:tcPr>
            <w:tcW w:type="dxa" w:w="487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发电量、装机容量、新增装机、利用小时、可再生能源装机、发电结构和可用能力。</w:t>
            </w:r>
          </w:p>
        </w:tc>
        <w:tc>
          <w:tcPr>
            <w:tcW w:type="dxa" w:w="28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支撑供给规模、结构和有效能力分析。</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平衡指标</w:t>
            </w:r>
          </w:p>
        </w:tc>
        <w:tc>
          <w:tcPr>
            <w:tcW w:type="dxa" w:w="487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全国和区域供需平衡、重点省份风险、备用空间、跨区互济和风险区间。</w:t>
            </w:r>
          </w:p>
        </w:tc>
        <w:tc>
          <w:tcPr>
            <w:tcW w:type="dxa" w:w="28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支撑供需风险识别和会商研判。</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市场指标</w:t>
            </w:r>
          </w:p>
        </w:tc>
        <w:tc>
          <w:tcPr>
            <w:tcW w:type="dxa" w:w="487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市场化交易电量、跨省跨区交易、绿电交易、中长期和现货交易汇总指标。</w:t>
            </w:r>
          </w:p>
        </w:tc>
        <w:tc>
          <w:tcPr>
            <w:tcW w:type="dxa" w:w="28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支撑市场因素和区域互济分析。</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气象指标</w:t>
            </w:r>
          </w:p>
        </w:tc>
        <w:tc>
          <w:tcPr>
            <w:tcW w:type="dxa" w:w="487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平均和极端温度、CDD、HDD、降水、来水偏差和天气事件。</w:t>
            </w:r>
          </w:p>
        </w:tc>
        <w:tc>
          <w:tcPr>
            <w:tcW w:type="dxa" w:w="28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支撑气象扰动和负荷弹性分析。</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解释指标</w:t>
            </w:r>
          </w:p>
        </w:tc>
        <w:tc>
          <w:tcPr>
            <w:tcW w:type="dxa" w:w="487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宏观景气、产业结构、重点行业产量、节假日、春节错位和政策事件。</w:t>
            </w:r>
          </w:p>
        </w:tc>
        <w:tc>
          <w:tcPr>
            <w:tcW w:type="dxa" w:w="28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支撑偏离解释和情景分析。</w:t>
            </w:r>
          </w:p>
        </w:tc>
      </w:tr>
      <w:tr>
        <w:trPr>
          <w:cantSplit/>
        </w:trPr>
        <w:tc>
          <w:tcPr>
            <w:tcW w:type="dxa" w:w="175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调节指标</w:t>
            </w:r>
          </w:p>
        </w:tc>
        <w:tc>
          <w:tcPr>
            <w:tcW w:type="dxa" w:w="4876"/>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需求响应、虚拟电厂、储能和其他可调节资源的规模、可用性和履约信息。</w:t>
            </w:r>
          </w:p>
        </w:tc>
        <w:tc>
          <w:tcPr>
            <w:tcW w:type="dxa" w:w="283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后续支撑重点时段缓释能力评估。</w:t>
            </w:r>
          </w:p>
        </w:tc>
      </w:tr>
    </w:tbl>
    <w:p>
      <w:pPr>
        <w:pStyle w:val="Heading1"/>
      </w:pPr>
      <w:r>
        <w:rPr>
          <w:rFonts w:ascii="Noto Sans CJK SC" w:hAnsi="Noto Sans CJK SC" w:eastAsia="Noto Sans CJK SC"/>
          <w:b/>
          <w:color w:val="123B66"/>
          <w:sz w:val="36"/>
        </w:rPr>
        <w:t>附件二  数据资源及责任清单</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211"/>
        <w:gridCol w:w="2211"/>
        <w:gridCol w:w="2211"/>
        <w:gridCol w:w="2211"/>
      </w:tblGrid>
      <w:tr>
        <w:trPr>
          <w:tblHeader w:val="true"/>
        </w:trPr>
        <w:tc>
          <w:tcPr>
            <w:tcW w:type="dxa" w:w="1587"/>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数据类别</w:t>
            </w:r>
          </w:p>
        </w:tc>
        <w:tc>
          <w:tcPr>
            <w:tcW w:type="dxa" w:w="311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主要内容</w:t>
            </w:r>
          </w:p>
        </w:tc>
        <w:tc>
          <w:tcPr>
            <w:tcW w:type="dxa" w:w="243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来源与责任主体</w:t>
            </w:r>
          </w:p>
        </w:tc>
        <w:tc>
          <w:tcPr>
            <w:tcW w:type="dxa" w:w="2324"/>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粒度及首期处理</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行业统计数据</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用电量、发电量、装机、利用小时、行业和地区指标。</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中电联统计体系及相关报表责任单位。</w:t>
            </w:r>
          </w:p>
        </w:tc>
        <w:tc>
          <w:tcPr>
            <w:tcW w:type="dxa" w:w="232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月/季/年；首期直接纳入，统一口径和版本。</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电网运行数据</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日度和小时负荷、最大负荷、区域平衡、通道能力等。</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电网企业及相关运行机构。</w:t>
            </w:r>
          </w:p>
        </w:tc>
        <w:tc>
          <w:tcPr>
            <w:tcW w:type="dxa" w:w="232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日/小时；先汇总、后细化，重点区域试点。</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发电和供给数据</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机组可用能力、检修停运、燃料和来水、新能源出力等。</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发电集团、电网企业及相关专业单位。</w:t>
            </w:r>
          </w:p>
        </w:tc>
        <w:tc>
          <w:tcPr>
            <w:tcW w:type="dxa" w:w="232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月/日/小时；按场景和授权分步接入。</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市场交易数据</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跨省跨区、绿电、中长期、现货和辅助服务汇总信息。</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北京、广州及省级电力交易机构。</w:t>
            </w:r>
          </w:p>
        </w:tc>
        <w:tc>
          <w:tcPr>
            <w:tcW w:type="dxa" w:w="232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月/日/小时；优先使用汇总和脱敏数据。</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气象和宏观数据</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天气实况和预报、温度指数、宏观经济和产业景气。</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气象机构、公开权威渠道和协议数据单位。</w:t>
            </w:r>
          </w:p>
        </w:tc>
        <w:tc>
          <w:tcPr>
            <w:tcW w:type="dxa" w:w="232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日/月；作为外生变量和解释变量。</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新型主体数据</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需求响应、虚拟电厂、储能、充电负荷和调节资源信息。</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负荷管理、聚合商、储能和充电运营主体。</w:t>
            </w:r>
          </w:p>
        </w:tc>
        <w:tc>
          <w:tcPr>
            <w:tcW w:type="dxa" w:w="232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事件/小时；专题样板先行，明确用途和授权。</w:t>
            </w:r>
          </w:p>
        </w:tc>
      </w:tr>
      <w:tr>
        <w:trPr>
          <w:cantSplit/>
        </w:trPr>
        <w:tc>
          <w:tcPr>
            <w:tcW w:type="dxa" w:w="1587"/>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报告和知识数据</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历史报告、图表、审校意见、政策事件和误差复盘。</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供需分析处及相关成果管理单位。</w:t>
            </w:r>
          </w:p>
        </w:tc>
        <w:tc>
          <w:tcPr>
            <w:tcW w:type="dxa" w:w="232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按报告和事件更新；建立模板和知识库。</w:t>
            </w:r>
          </w:p>
        </w:tc>
      </w:tr>
    </w:tbl>
    <w:p>
      <w:pPr>
        <w:pStyle w:val="Heading2"/>
      </w:pPr>
      <w:r>
        <w:rPr>
          <w:rFonts w:ascii="Noto Sans CJK SC" w:hAnsi="Noto Sans CJK SC" w:eastAsia="Noto Sans CJK SC"/>
          <w:b/>
          <w:sz w:val="32"/>
        </w:rPr>
        <w:t>数据可获得性和降级使用规则</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814"/>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数据状态</w:t>
            </w:r>
          </w:p>
        </w:tc>
        <w:tc>
          <w:tcPr>
            <w:tcW w:type="dxa" w:w="351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典型数据</w:t>
            </w:r>
          </w:p>
        </w:tc>
        <w:tc>
          <w:tcPr>
            <w:tcW w:type="dxa" w:w="4139"/>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处理规则</w:t>
            </w:r>
          </w:p>
        </w:tc>
      </w:tr>
      <w:tr>
        <w:trPr>
          <w:cantSplit/>
        </w:trPr>
        <w:tc>
          <w:tcPr>
            <w:tcW w:type="dxa" w:w="181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已掌握数据</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统计报表、历史指标、月报季报和年度报告。</w:t>
            </w:r>
          </w:p>
        </w:tc>
        <w:tc>
          <w:tcPr>
            <w:tcW w:type="dxa" w:w="413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直接纳入首期，完成统一编码、口径和版本治理。</w:t>
            </w:r>
          </w:p>
        </w:tc>
      </w:tr>
      <w:tr>
        <w:trPr>
          <w:cantSplit/>
        </w:trPr>
        <w:tc>
          <w:tcPr>
            <w:tcW w:type="dxa" w:w="181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可协调数据</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负荷、交易、气象、供给能力和重点行业高频数据。</w:t>
            </w:r>
          </w:p>
        </w:tc>
        <w:tc>
          <w:tcPr>
            <w:tcW w:type="dxa" w:w="413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明确合作主体、字段、频率、授权和责任人，分批接入。</w:t>
            </w:r>
          </w:p>
        </w:tc>
      </w:tr>
      <w:tr>
        <w:trPr>
          <w:cantSplit/>
        </w:trPr>
        <w:tc>
          <w:tcPr>
            <w:tcW w:type="dxa" w:w="181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难获取数据</w:t>
            </w:r>
          </w:p>
        </w:tc>
        <w:tc>
          <w:tcPr>
            <w:tcW w:type="dxa" w:w="351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用户侧细粒度负荷、场站级出力、储能SOC、虚拟电厂明细和现货出清明细。</w:t>
            </w:r>
          </w:p>
        </w:tc>
        <w:tc>
          <w:tcPr>
            <w:tcW w:type="dxa" w:w="413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1"/>
              </w:rPr>
              <w:t>优先使用汇总、脱敏、样板和替代数据，限制输出颗粒度。</w:t>
            </w:r>
          </w:p>
        </w:tc>
      </w:tr>
    </w:tbl>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211"/>
        <w:gridCol w:w="2211"/>
        <w:gridCol w:w="2211"/>
        <w:gridCol w:w="2211"/>
      </w:tblGrid>
      <w:tr>
        <w:trPr>
          <w:tblHeader w:val="true"/>
        </w:trPr>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业务场景</w:t>
            </w:r>
          </w:p>
        </w:tc>
        <w:tc>
          <w:tcPr>
            <w:tcW w:type="dxa" w:w="260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可能缺失数据</w:t>
            </w:r>
          </w:p>
        </w:tc>
        <w:tc>
          <w:tcPr>
            <w:tcW w:type="dxa" w:w="311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替代方式</w:t>
            </w:r>
          </w:p>
        </w:tc>
        <w:tc>
          <w:tcPr>
            <w:tcW w:type="dxa" w:w="204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输出限制</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月度季度分析</w:t>
            </w:r>
          </w:p>
        </w:tc>
        <w:tc>
          <w:tcPr>
            <w:tcW w:type="dxa" w:w="260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高频负荷或行业样本缺失。</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采用历史同期、宏观和气象数据进行趋势及回归修正。</w:t>
            </w:r>
          </w:p>
        </w:tc>
        <w:tc>
          <w:tcPr>
            <w:tcW w:type="dxa" w:w="204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只形成月度区间和原因解释，弱化短期精细判断。</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年度报告自动化</w:t>
            </w:r>
          </w:p>
        </w:tc>
        <w:tc>
          <w:tcPr>
            <w:tcW w:type="dxa" w:w="260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部分快报或审校意见未到位。</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使用上一轮定稿、季度数据和历史模板。</w:t>
            </w:r>
          </w:p>
        </w:tc>
        <w:tc>
          <w:tcPr>
            <w:tcW w:type="dxa" w:w="204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标注待更新章节，不自动形成最终结论。</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重点时段预警</w:t>
            </w:r>
          </w:p>
        </w:tc>
        <w:tc>
          <w:tcPr>
            <w:tcW w:type="dxa" w:w="260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小时负荷、可用容量或通道信息缺失。</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采用日峰值、历史相似天气和专家会商结果。</w:t>
            </w:r>
          </w:p>
        </w:tc>
        <w:tc>
          <w:tcPr>
            <w:tcW w:type="dxa" w:w="204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只发布风险等级和情景范围，不发布精确缺口。</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专题场景</w:t>
            </w:r>
          </w:p>
        </w:tc>
        <w:tc>
          <w:tcPr>
            <w:tcW w:type="dxa" w:w="260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新型主体或市场明细数据缺失。</w:t>
            </w:r>
          </w:p>
        </w:tc>
        <w:tc>
          <w:tcPr>
            <w:tcW w:type="dxa" w:w="311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采用区域汇总、典型样本和敏感性分析。</w:t>
            </w:r>
          </w:p>
        </w:tc>
        <w:tc>
          <w:tcPr>
            <w:tcW w:type="dxa" w:w="204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19"/>
              </w:rPr>
              <w:t>只输出区域或方向性判断，不作主体级和强因果结论。</w:t>
            </w:r>
          </w:p>
        </w:tc>
      </w:tr>
    </w:tbl>
    <w:p>
      <w:pPr>
        <w:pStyle w:val="Heading1"/>
      </w:pPr>
      <w:r>
        <w:rPr>
          <w:rFonts w:ascii="Noto Sans CJK SC" w:hAnsi="Noto Sans CJK SC" w:eastAsia="Noto Sans CJK SC"/>
          <w:b/>
          <w:color w:val="123B66"/>
          <w:sz w:val="36"/>
        </w:rPr>
        <w:t>附件三  平台功能、模型能力及验收清单</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功能域</w:t>
            </w:r>
          </w:p>
        </w:tc>
        <w:tc>
          <w:tcPr>
            <w:tcW w:type="dxa" w:w="3969"/>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首期功能</w:t>
            </w:r>
          </w:p>
        </w:tc>
        <w:tc>
          <w:tcPr>
            <w:tcW w:type="dxa" w:w="379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后续扩展功能</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数据接入</w:t>
            </w:r>
          </w:p>
        </w:tc>
        <w:tc>
          <w:tcPr>
            <w:tcW w:type="dxa" w:w="396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批量导入、字段校验、质量打分、人工补录、数据源登记。</w:t>
            </w:r>
          </w:p>
        </w:tc>
        <w:tc>
          <w:tcPr>
            <w:tcW w:type="dxa" w:w="379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准实时接口、消息服务、外部API管理和受控数据空间。</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数据治理</w:t>
            </w:r>
          </w:p>
        </w:tc>
        <w:tc>
          <w:tcPr>
            <w:tcW w:type="dxa" w:w="396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指标字典、主数据、质量规则、版本视图、授权台账。</w:t>
            </w:r>
          </w:p>
        </w:tc>
        <w:tc>
          <w:tcPr>
            <w:tcW w:type="dxa" w:w="379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自动血缘、异常修复、分级共享和使用评价。</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模型管理</w:t>
            </w:r>
          </w:p>
        </w:tc>
        <w:tc>
          <w:tcPr>
            <w:tcW w:type="dxa" w:w="396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基准分析、模型修正、滚动回测、模型注册和结果解释。</w:t>
            </w:r>
          </w:p>
        </w:tc>
        <w:tc>
          <w:tcPr>
            <w:tcW w:type="dxa" w:w="379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多步预测、层级一致、概率预测、漂移监测和协同建模。</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报告产品</w:t>
            </w:r>
          </w:p>
        </w:tc>
        <w:tc>
          <w:tcPr>
            <w:tcW w:type="dxa" w:w="396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月报、季报、年度报告模板、图表生成、文字草拟和人工审校。</w:t>
            </w:r>
          </w:p>
        </w:tc>
        <w:tc>
          <w:tcPr>
            <w:tcW w:type="dxa" w:w="379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专题专报、智能会商、多版本发布和服务组件。</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看板服务</w:t>
            </w:r>
          </w:p>
        </w:tc>
        <w:tc>
          <w:tcPr>
            <w:tcW w:type="dxa" w:w="396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全国总盘、区域风险图、指标趋势和风险清单。</w:t>
            </w:r>
          </w:p>
        </w:tc>
        <w:tc>
          <w:tcPr>
            <w:tcW w:type="dxa" w:w="379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专题驾驶舱、场景推演、订阅提示和授权接口。</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运维安全</w:t>
            </w:r>
          </w:p>
        </w:tc>
        <w:tc>
          <w:tcPr>
            <w:tcW w:type="dxa" w:w="3969"/>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用户权限、日志审计、备份恢复、接口和作业监控。</w:t>
            </w:r>
          </w:p>
        </w:tc>
        <w:tc>
          <w:tcPr>
            <w:tcW w:type="dxa" w:w="379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高可用、容灾演练、安全态势和精细化资源管理。</w:t>
            </w:r>
          </w:p>
        </w:tc>
      </w:tr>
    </w:tbl>
    <w:p>
      <w:pPr>
        <w:pStyle w:val="Heading2"/>
      </w:pPr>
      <w:r>
        <w:rPr>
          <w:rFonts w:ascii="Noto Sans CJK SC" w:hAnsi="Noto Sans CJK SC" w:eastAsia="Noto Sans CJK SC"/>
          <w:b/>
          <w:sz w:val="32"/>
        </w:rPr>
        <w:t>模型能力分层建设</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211"/>
        <w:gridCol w:w="2211"/>
        <w:gridCol w:w="2211"/>
        <w:gridCol w:w="2211"/>
      </w:tblGrid>
      <w:tr>
        <w:trPr>
          <w:tblHeader w:val="true"/>
        </w:trPr>
        <w:tc>
          <w:tcPr>
            <w:tcW w:type="dxa" w:w="153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能力层级</w:t>
            </w:r>
          </w:p>
        </w:tc>
        <w:tc>
          <w:tcPr>
            <w:tcW w:type="dxa" w:w="300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主要能力</w:t>
            </w:r>
          </w:p>
        </w:tc>
        <w:tc>
          <w:tcPr>
            <w:tcW w:type="dxa" w:w="2494"/>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适用场景</w:t>
            </w:r>
          </w:p>
        </w:tc>
        <w:tc>
          <w:tcPr>
            <w:tcW w:type="dxa" w:w="2438"/>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治理要求</w:t>
            </w:r>
          </w:p>
        </w:tc>
      </w:tr>
      <w:tr>
        <w:trPr>
          <w:cantSplit/>
        </w:trPr>
        <w:tc>
          <w:tcPr>
            <w:tcW w:type="dxa" w:w="153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基础层</w:t>
            </w:r>
          </w:p>
        </w:tc>
        <w:tc>
          <w:tcPr>
            <w:tcW w:type="dxa" w:w="300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同比环比、趋势外推、回归和可解释统计模型。</w:t>
            </w:r>
          </w:p>
        </w:tc>
        <w:tc>
          <w:tcPr>
            <w:tcW w:type="dxa" w:w="249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月度、季度和年度分析。</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保存数据、口径和回测结果，首期必须具备。</w:t>
            </w:r>
          </w:p>
        </w:tc>
      </w:tr>
      <w:tr>
        <w:trPr>
          <w:cantSplit/>
        </w:trPr>
        <w:tc>
          <w:tcPr>
            <w:tcW w:type="dxa" w:w="153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增强层</w:t>
            </w:r>
          </w:p>
        </w:tc>
        <w:tc>
          <w:tcPr>
            <w:tcW w:type="dxa" w:w="300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机器学习修正、变量贡献、滚动组合和层级校正。</w:t>
            </w:r>
          </w:p>
        </w:tc>
        <w:tc>
          <w:tcPr>
            <w:tcW w:type="dxa" w:w="249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月度修正、重点时段和区域专题。</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建立模型注册、漂移监测和版本回滚。</w:t>
            </w:r>
          </w:p>
        </w:tc>
      </w:tr>
      <w:tr>
        <w:trPr>
          <w:cantSplit/>
        </w:trPr>
        <w:tc>
          <w:tcPr>
            <w:tcW w:type="dxa" w:w="153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高阶层</w:t>
            </w:r>
          </w:p>
        </w:tc>
        <w:tc>
          <w:tcPr>
            <w:tcW w:type="dxa" w:w="300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多变量多步预测、概率预测和情景模拟。</w:t>
            </w:r>
          </w:p>
        </w:tc>
        <w:tc>
          <w:tcPr>
            <w:tcW w:type="dxa" w:w="249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高频预警、新能源和新型资源专题。</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根据样本、算力和发布边界按场景引入。</w:t>
            </w:r>
          </w:p>
        </w:tc>
      </w:tr>
      <w:tr>
        <w:trPr>
          <w:cantSplit/>
        </w:trPr>
        <w:tc>
          <w:tcPr>
            <w:tcW w:type="dxa" w:w="153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协同层</w:t>
            </w:r>
          </w:p>
        </w:tc>
        <w:tc>
          <w:tcPr>
            <w:tcW w:type="dxa" w:w="300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隐私计算、联邦学习、安全多方计算和可信执行环境。</w:t>
            </w:r>
          </w:p>
        </w:tc>
        <w:tc>
          <w:tcPr>
            <w:tcW w:type="dxa" w:w="2494"/>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跨主体高敏数据协同分析。</w:t>
            </w:r>
          </w:p>
        </w:tc>
        <w:tc>
          <w:tcPr>
            <w:tcW w:type="dxa" w:w="2438"/>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严格论证必要性，落实授权、用途限定和全链路审计。</w:t>
            </w:r>
          </w:p>
        </w:tc>
      </w:tr>
    </w:tbl>
    <w:p>
      <w:pPr>
        <w:pStyle w:val="Heading2"/>
      </w:pPr>
      <w:r>
        <w:rPr>
          <w:rFonts w:ascii="Noto Sans CJK SC" w:hAnsi="Noto Sans CJK SC" w:eastAsia="Noto Sans CJK SC"/>
          <w:b/>
          <w:sz w:val="32"/>
        </w:rPr>
        <w:t>首期成果及验收要点</w:t>
      </w:r>
    </w:p>
    <w:tbl>
      <w:tblPr>
        <w:tblW w:type="auto" w:w="0"/>
        <w:jc w:val="center"/>
        <w:tblLayout w:type="fixed"/>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948"/>
        <w:gridCol w:w="2948"/>
        <w:gridCol w:w="2948"/>
      </w:tblGrid>
      <w:tr>
        <w:trPr>
          <w:tblHeader w:val="true"/>
        </w:trPr>
        <w:tc>
          <w:tcPr>
            <w:tcW w:type="dxa" w:w="1701"/>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成果类别</w:t>
            </w:r>
          </w:p>
        </w:tc>
        <w:tc>
          <w:tcPr>
            <w:tcW w:type="dxa" w:w="4195"/>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主要成果</w:t>
            </w:r>
          </w:p>
        </w:tc>
        <w:tc>
          <w:tcPr>
            <w:tcW w:type="dxa" w:w="3572"/>
            <w:shd w:fill="DDE8F2"/>
            <w:vAlign w:val="center"/>
            <w:tcMar>
              <w:top w:w="75" w:type="dxa"/>
              <w:start w:w="85" w:type="dxa"/>
              <w:bottom w:w="75" w:type="dxa"/>
              <w:end w:w="85" w:type="dxa"/>
            </w:tcMar>
          </w:tcPr>
          <w:p>
            <w:pPr>
              <w:spacing w:line="400" w:lineRule="exact"/>
              <w:ind w:firstLine="0"/>
              <w:jc w:val="center"/>
            </w:pPr>
            <w:r>
              <w:rPr>
                <w:rFonts w:ascii="Noto Sans CJK SC" w:hAnsi="Noto Sans CJK SC" w:eastAsia="Noto Sans CJK SC"/>
                <w:b/>
                <w:color w:val="123B66"/>
                <w:sz w:val="22"/>
              </w:rPr>
              <w:t>验收重点</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数据成果</w:t>
            </w:r>
          </w:p>
        </w:tc>
        <w:tc>
          <w:tcPr>
            <w:tcW w:type="dxa" w:w="419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数据资源目录、指标字典、主数据编码、质量规则和发布时点视图。</w:t>
            </w:r>
          </w:p>
        </w:tc>
        <w:tc>
          <w:tcPr>
            <w:tcW w:type="dxa" w:w="357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核心指标口径明确，数据来源和责任可追溯，历史版本可回放。</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模型成果</w:t>
            </w:r>
          </w:p>
        </w:tc>
        <w:tc>
          <w:tcPr>
            <w:tcW w:type="dxa" w:w="419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月度和季度基准预测、模型修正、回测报告和误差复盘。</w:t>
            </w:r>
          </w:p>
        </w:tc>
        <w:tc>
          <w:tcPr>
            <w:tcW w:type="dxa" w:w="357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结果可解释，方向和区间评价可计算，异常情况下可降级运行。</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产品成果</w:t>
            </w:r>
          </w:p>
        </w:tc>
        <w:tc>
          <w:tcPr>
            <w:tcW w:type="dxa" w:w="419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月报、季报、年度报告自动化原型、基础看板、风险清单和修订说明。</w:t>
            </w:r>
          </w:p>
        </w:tc>
        <w:tc>
          <w:tcPr>
            <w:tcW w:type="dxa" w:w="357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能够按业务周期稳定生成，图表和正文一致，支持人工审校。</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机制成果</w:t>
            </w:r>
          </w:p>
        </w:tc>
        <w:tc>
          <w:tcPr>
            <w:tcW w:type="dxa" w:w="419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工作专班、业务流程、专家会商、发布审核、版本归档和月度复盘。</w:t>
            </w:r>
          </w:p>
        </w:tc>
        <w:tc>
          <w:tcPr>
            <w:tcW w:type="dxa" w:w="357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责任明确，流程可执行，发布和修改记录完整。</w:t>
            </w:r>
          </w:p>
        </w:tc>
      </w:tr>
      <w:tr>
        <w:trPr>
          <w:cantSplit/>
        </w:trPr>
        <w:tc>
          <w:tcPr>
            <w:tcW w:type="dxa" w:w="1701"/>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平台成果</w:t>
            </w:r>
          </w:p>
        </w:tc>
        <w:tc>
          <w:tcPr>
            <w:tcW w:type="dxa" w:w="4195"/>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数据导入、质量检查、预测分析、报告生成、审校流转和运行监控原型。</w:t>
            </w:r>
          </w:p>
        </w:tc>
        <w:tc>
          <w:tcPr>
            <w:tcW w:type="dxa" w:w="3572"/>
            <w:vAlign w:val="center"/>
            <w:tcMar>
              <w:top w:w="75" w:type="dxa"/>
              <w:start w:w="85" w:type="dxa"/>
              <w:bottom w:w="75" w:type="dxa"/>
              <w:end w:w="85" w:type="dxa"/>
            </w:tcMar>
          </w:tcPr>
          <w:p>
            <w:pPr>
              <w:spacing w:line="380" w:lineRule="exact"/>
              <w:ind w:firstLine="0"/>
              <w:jc w:val="both"/>
            </w:pPr>
            <w:r>
              <w:rPr>
                <w:rFonts w:ascii="Noto Serif CJK SC" w:hAnsi="Noto Serif CJK SC" w:eastAsia="Noto Serif CJK SC"/>
                <w:b w:val="0"/>
                <w:sz w:val="20"/>
              </w:rPr>
              <w:t>核心闭环贯通，权限、日志、备份和故障处理机制可用。</w:t>
            </w:r>
          </w:p>
        </w:tc>
      </w:tr>
    </w:tbl>
    <w:sectPr w:rsidR="00FC693F" w:rsidRPr="0006063C" w:rsidSect="00034616">
      <w:footerReference w:type="default" r:id="rId9"/>
      <w:pgSz w:w="11906" w:h="16838"/>
      <w:pgMar w:top="1474" w:right="1474" w:bottom="1361" w:left="158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b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20" w:after="0"/>
      <w:ind w:firstLine="420"/>
      <w:jc w:val="both"/>
    </w:pPr>
    <w:rPr>
      <w:rFonts w:ascii="Noto Serif CJK SC" w:hAnsi="Noto Serif CJK SC" w:eastAsia="Noto Serif CJK SC"/>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Rule="exact" w:line="560"/>
      <w:ind w:firstLine="0"/>
      <w:outlineLvl w:val="0"/>
    </w:pPr>
    <w:rPr>
      <w:rFonts w:asciiTheme="majorHAnsi" w:eastAsiaTheme="majorEastAsia" w:hAnsiTheme="majorHAnsi" w:cstheme="majorBidi" w:ascii="Noto Sans CJK SC" w:hAnsi="Noto Sans CJK SC" w:eastAsia="Noto Sans CJK S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80" w:lineRule="exact" w:line="560"/>
      <w:ind w:firstLine="0"/>
      <w:outlineLvl w:val="1"/>
    </w:pPr>
    <w:rPr>
      <w:rFonts w:asciiTheme="majorHAnsi" w:eastAsiaTheme="majorEastAsia" w:hAnsiTheme="majorHAnsi" w:cstheme="majorBidi" w:ascii="Noto Sans CJK SC" w:hAnsi="Noto Sans CJK SC" w:eastAsia="Noto Sans CJK SC"/>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100" w:after="40" w:lineRule="exact" w:line="560"/>
      <w:ind w:firstLine="0"/>
      <w:outlineLvl w:val="2"/>
    </w:pPr>
    <w:rPr>
      <w:rFonts w:asciiTheme="majorHAnsi" w:eastAsiaTheme="majorEastAsia" w:hAnsiTheme="majorHAnsi" w:cstheme="majorBidi" w:ascii="AR PL KaitiM GB" w:hAnsi="AR PL KaitiM GB" w:eastAsia="AR PL KaitiM GB"/>
      <w:b/>
      <w:bCs/>
      <w:color w:val="4F81BD" w:themeColor="accent1"/>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lineRule="exact" w:line="500" w:after="0"/>
      <w:ind w:left="420" w:hanging="420"/>
      <w:jc w:val="both"/>
    </w:pPr>
    <w:rPr>
      <w:rFonts w:ascii="Noto Serif CJK SC" w:hAnsi="Noto Serif CJK SC" w:eastAsia="Noto Serif CJK SC"/>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关于开展电力供需形势预测工作的整体方案（重构稿 V0.2 完整稿）</dc:title>
  <dc:subject>中电联电力供需形势预测能力建设整体方案</dc:subject>
  <dc:creator>中电联统计与数智部电力供需分析处</dc:creator>
  <cp:keywords/>
  <dc:description>generated by python-docx</dc:description>
  <cp:lastModifiedBy/>
  <cp:revision>1</cp:revision>
  <dcterms:created xsi:type="dcterms:W3CDTF">2013-12-23T23:15:00Z</dcterms:created>
  <dcterms:modified xsi:type="dcterms:W3CDTF">2013-12-23T23:15:00Z</dcterms:modified>
  <cp:category/>
</cp:coreProperties>
</file>