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AC4C2">
      <w:pPr>
        <w:spacing w:before="0" w:after="0" w:line="240" w:lineRule="auto"/>
        <w:ind w:left="0" w:right="0" w:firstLine="0"/>
        <w:jc w:val="both"/>
      </w:pPr>
    </w:p>
    <w:p w14:paraId="5AB59955">
      <w:pPr>
        <w:spacing w:before="0" w:after="0" w:line="240" w:lineRule="auto"/>
        <w:ind w:left="0" w:right="0" w:firstLine="0"/>
        <w:jc w:val="both"/>
      </w:pPr>
    </w:p>
    <w:p w14:paraId="13111168">
      <w:pPr>
        <w:spacing w:before="0" w:after="0" w:line="240" w:lineRule="auto"/>
        <w:ind w:left="0" w:right="0" w:firstLine="0"/>
        <w:jc w:val="both"/>
      </w:pPr>
    </w:p>
    <w:p w14:paraId="4802F962">
      <w:pPr>
        <w:spacing w:before="0" w:after="0" w:line="240" w:lineRule="auto"/>
        <w:ind w:left="0" w:right="0" w:firstLine="0"/>
        <w:jc w:val="both"/>
      </w:pPr>
    </w:p>
    <w:p w14:paraId="71C072CE">
      <w:pPr>
        <w:pStyle w:val="172"/>
        <w:spacing w:before="1360" w:after="0" w:line="760" w:lineRule="exact"/>
        <w:ind w:left="0" w:right="0" w:firstLine="0"/>
        <w:jc w:val="center"/>
      </w:pPr>
      <w:r>
        <w:rPr>
          <w:rFonts w:ascii="Times New Roman" w:hAnsi="Times New Roman" w:eastAsia="方正小标宋简体" w:cs="Times New Roman"/>
          <w:sz w:val="44"/>
          <w:color w:val="000000"/>
        </w:rPr>
        <w:t>依托电力领域数据基础设施开展</w:t>
      </w:r>
    </w:p>
    <w:p w14:paraId="25EBFC5F">
      <w:pPr>
        <w:pStyle w:val="172"/>
        <w:spacing w:before="0" w:after="0" w:line="760" w:lineRule="exact"/>
        <w:ind w:left="0" w:right="0" w:firstLine="0"/>
        <w:jc w:val="center"/>
      </w:pPr>
      <w:r>
        <w:rPr>
          <w:rFonts w:ascii="Times New Roman" w:hAnsi="Times New Roman" w:eastAsia="方正小标宋简体" w:cs="Times New Roman"/>
          <w:sz w:val="44"/>
          <w:color w:val="000000"/>
        </w:rPr>
        <w:t>行业数据服务与场景服务合作交流材料</w:t>
      </w:r>
    </w:p>
    <w:p w14:paraId="19EB5E6E">
      <w:pPr>
        <w:pStyle w:val="174"/>
        <w:spacing w:before="5000" w:after="0" w:line="580" w:lineRule="exact"/>
        <w:ind w:left="0" w:right="0" w:firstLine="0"/>
        <w:jc w:val="center"/>
      </w:pPr>
      <w:r>
        <w:rPr>
          <w:rFonts w:ascii="Times New Roman" w:hAnsi="Times New Roman" w:eastAsia="仿宋_GB2312" w:cs="Times New Roman"/>
          <w:sz w:val="32"/>
          <w:color w:val="000000"/>
        </w:rPr>
        <w:t>中国电力企业联合会</w:t>
      </w:r>
    </w:p>
    <w:p w14:paraId="38D1B30B">
      <w:pPr>
        <w:pStyle w:val="174"/>
        <w:spacing w:before="0" w:after="0" w:line="580" w:lineRule="exact"/>
        <w:ind w:left="0" w:right="0" w:firstLine="0"/>
        <w:jc w:val="center"/>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4" w:left="1587" w:header="850" w:footer="397" w:gutter="0"/>
          <w:pgNumType w:fmt="decimal"/>
          <w:cols w:space="720" w:num="1"/>
          <w:formProt w:val="0"/>
          <w:docGrid w:type="lines" w:linePitch="580" w:charSpace="0"/>
        </w:sectPr>
      </w:pPr>
      <w:r>
        <w:rPr>
          <w:rFonts w:ascii="Times New Roman" w:hAnsi="Times New Roman" w:eastAsia="仿宋_GB2312" w:cs="Times New Roman"/>
          <w:sz w:val="32"/>
          <w:color w:val="000000"/>
        </w:rPr>
        <w:t>2026年8月</w:t>
      </w:r>
    </w:p>
    <w:p w14:paraId="64D59926">
      <w:pPr>
        <w:pStyle w:val="175"/>
        <w:spacing w:before="0" w:after="360" w:line="640" w:lineRule="exact"/>
        <w:ind w:left="0" w:right="0" w:firstLine="0"/>
        <w:jc w:val="center"/>
      </w:pPr>
      <w:r>
        <w:rPr>
          <w:rFonts w:ascii="Times New Roman" w:hAnsi="Times New Roman" w:cs="Times New Roman" w:eastAsia="方正小标宋简体"/>
          <w:b w:val="0"/>
          <w:color w:val="000000"/>
          <w:sz w:val="44"/>
          <w:lang w:val="en-US" w:eastAsia="zh-CN"/>
        </w:rPr>
        <w:t>目　录</w:t>
      </w:r>
    </w:p>
    <w:p>
      <w:pPr>
        <w:pStyle w:val="26"/>
        <w:tabs>
          <w:tab w:pos="8844" w:val="right" w:leader="dot"/>
        </w:tabs>
        <w:spacing w:line="480" w:lineRule="exact" w:before="0" w:after="0"/>
      </w:pPr>
      <w:r>
        <w:rPr>
          <w:rFonts w:ascii="Times New Roman" w:hAnsi="Times New Roman" w:eastAsia="黑体" w:cs="Times New Roman"/>
          <w:sz w:val="28"/>
        </w:rPr>
        <w:t>第一章　建设背景与合作基础</w:t>
      </w:r>
      <w:r>
        <w:rPr>
          <w:rFonts w:ascii="Times New Roman" w:hAnsi="Times New Roman" w:eastAsia="黑体" w:cs="Times New Roman"/>
          <w:sz w:val="28"/>
        </w:rPr>
        <w:tab/>
      </w:r>
      <w:r>
        <w:rPr>
          <w:rFonts w:ascii="Times New Roman" w:hAnsi="Times New Roman" w:eastAsia="黑体" w:cs="Times New Roman"/>
          <w:sz w:val="28"/>
        </w:rPr>
        <w:t>1</w:t>
      </w:r>
    </w:p>
    <w:p>
      <w:pPr>
        <w:pStyle w:val="31"/>
        <w:tabs>
          <w:tab w:pos="8844" w:val="right" w:leader="dot"/>
        </w:tabs>
        <w:spacing w:line="480" w:lineRule="exact" w:before="0" w:after="0"/>
      </w:pPr>
      <w:r>
        <w:rPr>
          <w:rFonts w:ascii="Times New Roman" w:hAnsi="Times New Roman" w:eastAsia="仿宋_GB2312" w:cs="Times New Roman"/>
          <w:sz w:val="28"/>
        </w:rPr>
        <w:t>一、建设背景</w:t>
      </w:r>
      <w:r>
        <w:rPr>
          <w:rFonts w:ascii="Times New Roman" w:hAnsi="Times New Roman" w:eastAsia="仿宋_GB2312" w:cs="Times New Roman"/>
          <w:sz w:val="28"/>
        </w:rPr>
        <w:tab/>
      </w:r>
      <w:r>
        <w:rPr>
          <w:rFonts w:ascii="Times New Roman" w:hAnsi="Times New Roman" w:eastAsia="仿宋_GB2312" w:cs="Times New Roman"/>
          <w:sz w:val="28"/>
        </w:rPr>
        <w:t>1</w:t>
      </w:r>
    </w:p>
    <w:p>
      <w:pPr>
        <w:pStyle w:val="31"/>
        <w:tabs>
          <w:tab w:pos="8844" w:val="right" w:leader="dot"/>
        </w:tabs>
        <w:spacing w:line="480" w:lineRule="exact" w:before="0" w:after="0"/>
      </w:pPr>
      <w:r>
        <w:rPr>
          <w:rFonts w:ascii="Times New Roman" w:hAnsi="Times New Roman" w:eastAsia="仿宋_GB2312" w:cs="Times New Roman"/>
          <w:sz w:val="28"/>
        </w:rPr>
        <w:t>二、总体定位</w:t>
      </w:r>
      <w:r>
        <w:rPr>
          <w:rFonts w:ascii="Times New Roman" w:hAnsi="Times New Roman" w:eastAsia="仿宋_GB2312" w:cs="Times New Roman"/>
          <w:sz w:val="28"/>
        </w:rPr>
        <w:tab/>
      </w:r>
      <w:r>
        <w:rPr>
          <w:rFonts w:ascii="Times New Roman" w:hAnsi="Times New Roman" w:eastAsia="仿宋_GB2312" w:cs="Times New Roman"/>
          <w:sz w:val="28"/>
        </w:rPr>
        <w:t>2</w:t>
      </w:r>
    </w:p>
    <w:p>
      <w:pPr>
        <w:pStyle w:val="31"/>
        <w:tabs>
          <w:tab w:pos="8844" w:val="right" w:leader="dot"/>
        </w:tabs>
        <w:spacing w:line="480" w:lineRule="exact" w:before="0" w:after="0"/>
      </w:pPr>
      <w:r>
        <w:rPr>
          <w:rFonts w:ascii="Times New Roman" w:hAnsi="Times New Roman" w:eastAsia="仿宋_GB2312" w:cs="Times New Roman"/>
          <w:sz w:val="28"/>
        </w:rPr>
        <w:t>三、建设基础</w:t>
      </w:r>
      <w:r>
        <w:rPr>
          <w:rFonts w:ascii="Times New Roman" w:hAnsi="Times New Roman" w:eastAsia="仿宋_GB2312" w:cs="Times New Roman"/>
          <w:sz w:val="28"/>
        </w:rPr>
        <w:tab/>
      </w:r>
      <w:r>
        <w:rPr>
          <w:rFonts w:ascii="Times New Roman" w:hAnsi="Times New Roman" w:eastAsia="仿宋_GB2312" w:cs="Times New Roman"/>
          <w:sz w:val="28"/>
        </w:rPr>
        <w:t>3</w:t>
      </w:r>
    </w:p>
    <w:p>
      <w:pPr>
        <w:pStyle w:val="31"/>
        <w:tabs>
          <w:tab w:pos="8844" w:val="right" w:leader="dot"/>
        </w:tabs>
        <w:spacing w:line="480" w:lineRule="exact" w:before="0" w:after="0"/>
      </w:pPr>
      <w:r>
        <w:rPr>
          <w:rFonts w:ascii="Times New Roman" w:hAnsi="Times New Roman" w:eastAsia="仿宋_GB2312" w:cs="Times New Roman"/>
          <w:sz w:val="28"/>
        </w:rPr>
        <w:t>四、建设目标与合作空间</w:t>
      </w:r>
      <w:r>
        <w:rPr>
          <w:rFonts w:ascii="Times New Roman" w:hAnsi="Times New Roman" w:eastAsia="仿宋_GB2312" w:cs="Times New Roman"/>
          <w:sz w:val="28"/>
        </w:rPr>
        <w:tab/>
      </w:r>
      <w:r>
        <w:rPr>
          <w:rFonts w:ascii="Times New Roman" w:hAnsi="Times New Roman" w:eastAsia="仿宋_GB2312" w:cs="Times New Roman"/>
          <w:sz w:val="28"/>
        </w:rPr>
        <w:t>5</w:t>
      </w:r>
    </w:p>
    <w:p>
      <w:pPr>
        <w:pStyle w:val="31"/>
        <w:tabs>
          <w:tab w:pos="8844" w:val="right" w:leader="dot"/>
        </w:tabs>
        <w:spacing w:line="480" w:lineRule="exact" w:before="0" w:after="0"/>
      </w:pPr>
      <w:r>
        <w:rPr>
          <w:rFonts w:ascii="Times New Roman" w:hAnsi="Times New Roman" w:eastAsia="仿宋_GB2312" w:cs="Times New Roman"/>
          <w:sz w:val="28"/>
        </w:rPr>
        <w:t>五、合作价值与开放原则</w:t>
      </w:r>
      <w:r>
        <w:rPr>
          <w:rFonts w:ascii="Times New Roman" w:hAnsi="Times New Roman" w:eastAsia="仿宋_GB2312" w:cs="Times New Roman"/>
          <w:sz w:val="28"/>
        </w:rPr>
        <w:tab/>
      </w:r>
      <w:r>
        <w:rPr>
          <w:rFonts w:ascii="Times New Roman" w:hAnsi="Times New Roman" w:eastAsia="仿宋_GB2312" w:cs="Times New Roman"/>
          <w:sz w:val="28"/>
        </w:rPr>
        <w:t>6</w:t>
      </w:r>
    </w:p>
    <w:p>
      <w:pPr>
        <w:pStyle w:val="26"/>
        <w:tabs>
          <w:tab w:pos="8844" w:val="right" w:leader="dot"/>
        </w:tabs>
        <w:spacing w:line="480" w:lineRule="exact" w:before="0" w:after="0"/>
      </w:pPr>
      <w:r>
        <w:rPr>
          <w:rFonts w:ascii="Times New Roman" w:hAnsi="Times New Roman" w:eastAsia="黑体" w:cs="Times New Roman"/>
          <w:sz w:val="28"/>
        </w:rPr>
        <w:t>第二章　平台建设与运营体系</w:t>
      </w:r>
      <w:r>
        <w:rPr>
          <w:rFonts w:ascii="Times New Roman" w:hAnsi="Times New Roman" w:eastAsia="黑体" w:cs="Times New Roman"/>
          <w:sz w:val="28"/>
        </w:rPr>
        <w:tab/>
      </w:r>
      <w:r>
        <w:rPr>
          <w:rFonts w:ascii="Times New Roman" w:hAnsi="Times New Roman" w:eastAsia="黑体" w:cs="Times New Roman"/>
          <w:sz w:val="28"/>
        </w:rPr>
        <w:t>7</w:t>
      </w:r>
    </w:p>
    <w:p>
      <w:pPr>
        <w:pStyle w:val="31"/>
        <w:tabs>
          <w:tab w:pos="8844" w:val="right" w:leader="dot"/>
        </w:tabs>
        <w:spacing w:line="480" w:lineRule="exact" w:before="0" w:after="0"/>
      </w:pPr>
      <w:r>
        <w:rPr>
          <w:rFonts w:ascii="Times New Roman" w:hAnsi="Times New Roman" w:eastAsia="仿宋_GB2312" w:cs="Times New Roman"/>
          <w:sz w:val="28"/>
        </w:rPr>
        <w:t>一、总体业务模式</w:t>
      </w:r>
      <w:r>
        <w:rPr>
          <w:rFonts w:ascii="Times New Roman" w:hAnsi="Times New Roman" w:eastAsia="仿宋_GB2312" w:cs="Times New Roman"/>
          <w:sz w:val="28"/>
        </w:rPr>
        <w:tab/>
      </w:r>
      <w:r>
        <w:rPr>
          <w:rFonts w:ascii="Times New Roman" w:hAnsi="Times New Roman" w:eastAsia="仿宋_GB2312" w:cs="Times New Roman"/>
          <w:sz w:val="28"/>
        </w:rPr>
        <w:t>7</w:t>
      </w:r>
    </w:p>
    <w:p>
      <w:pPr>
        <w:pStyle w:val="31"/>
        <w:tabs>
          <w:tab w:pos="8844" w:val="right" w:leader="dot"/>
        </w:tabs>
        <w:spacing w:line="480" w:lineRule="exact" w:before="0" w:after="0"/>
      </w:pPr>
      <w:r>
        <w:rPr>
          <w:rFonts w:ascii="Times New Roman" w:hAnsi="Times New Roman" w:eastAsia="仿宋_GB2312" w:cs="Times New Roman"/>
          <w:sz w:val="28"/>
        </w:rPr>
        <w:t>二、参与主体与业务关系</w:t>
      </w:r>
      <w:r>
        <w:rPr>
          <w:rFonts w:ascii="Times New Roman" w:hAnsi="Times New Roman" w:eastAsia="仿宋_GB2312" w:cs="Times New Roman"/>
          <w:sz w:val="28"/>
        </w:rPr>
        <w:tab/>
      </w:r>
      <w:r>
        <w:rPr>
          <w:rFonts w:ascii="Times New Roman" w:hAnsi="Times New Roman" w:eastAsia="仿宋_GB2312" w:cs="Times New Roman"/>
          <w:sz w:val="28"/>
        </w:rPr>
        <w:t>8</w:t>
      </w:r>
    </w:p>
    <w:p>
      <w:pPr>
        <w:pStyle w:val="31"/>
        <w:tabs>
          <w:tab w:pos="8844" w:val="right" w:leader="dot"/>
        </w:tabs>
        <w:spacing w:line="480" w:lineRule="exact" w:before="0" w:after="0"/>
      </w:pPr>
      <w:r>
        <w:rPr>
          <w:rFonts w:ascii="Times New Roman" w:hAnsi="Times New Roman" w:eastAsia="仿宋_GB2312" w:cs="Times New Roman"/>
          <w:sz w:val="28"/>
        </w:rPr>
        <w:t>三、总体架构</w:t>
      </w:r>
      <w:r>
        <w:rPr>
          <w:rFonts w:ascii="Times New Roman" w:hAnsi="Times New Roman" w:eastAsia="仿宋_GB2312" w:cs="Times New Roman"/>
          <w:sz w:val="28"/>
        </w:rPr>
        <w:tab/>
      </w:r>
      <w:r>
        <w:rPr>
          <w:rFonts w:ascii="Times New Roman" w:hAnsi="Times New Roman" w:eastAsia="仿宋_GB2312" w:cs="Times New Roman"/>
          <w:sz w:val="28"/>
        </w:rPr>
        <w:t>9</w:t>
      </w:r>
    </w:p>
    <w:p>
      <w:pPr>
        <w:pStyle w:val="31"/>
        <w:tabs>
          <w:tab w:pos="8844" w:val="right" w:leader="dot"/>
        </w:tabs>
        <w:spacing w:line="480" w:lineRule="exact" w:before="0" w:after="0"/>
      </w:pPr>
      <w:r>
        <w:rPr>
          <w:rFonts w:ascii="Times New Roman" w:hAnsi="Times New Roman" w:eastAsia="仿宋_GB2312" w:cs="Times New Roman"/>
          <w:sz w:val="28"/>
        </w:rPr>
        <w:t>四、资源与产品形成机制</w:t>
      </w:r>
      <w:r>
        <w:rPr>
          <w:rFonts w:ascii="Times New Roman" w:hAnsi="Times New Roman" w:eastAsia="仿宋_GB2312" w:cs="Times New Roman"/>
          <w:sz w:val="28"/>
        </w:rPr>
        <w:tab/>
      </w:r>
      <w:r>
        <w:rPr>
          <w:rFonts w:ascii="Times New Roman" w:hAnsi="Times New Roman" w:eastAsia="仿宋_GB2312" w:cs="Times New Roman"/>
          <w:sz w:val="28"/>
        </w:rPr>
        <w:t>10</w:t>
      </w:r>
    </w:p>
    <w:p>
      <w:pPr>
        <w:pStyle w:val="31"/>
        <w:tabs>
          <w:tab w:pos="8844" w:val="right" w:leader="dot"/>
        </w:tabs>
        <w:spacing w:line="480" w:lineRule="exact" w:before="0" w:after="0"/>
      </w:pPr>
      <w:r>
        <w:rPr>
          <w:rFonts w:ascii="Times New Roman" w:hAnsi="Times New Roman" w:eastAsia="仿宋_GB2312" w:cs="Times New Roman"/>
          <w:sz w:val="28"/>
        </w:rPr>
        <w:t>五、服务运营闭环</w:t>
      </w:r>
      <w:r>
        <w:rPr>
          <w:rFonts w:ascii="Times New Roman" w:hAnsi="Times New Roman" w:eastAsia="仿宋_GB2312" w:cs="Times New Roman"/>
          <w:sz w:val="28"/>
        </w:rPr>
        <w:tab/>
      </w:r>
      <w:r>
        <w:rPr>
          <w:rFonts w:ascii="Times New Roman" w:hAnsi="Times New Roman" w:eastAsia="仿宋_GB2312" w:cs="Times New Roman"/>
          <w:sz w:val="28"/>
        </w:rPr>
        <w:t>12</w:t>
      </w:r>
    </w:p>
    <w:p>
      <w:pPr>
        <w:pStyle w:val="26"/>
        <w:tabs>
          <w:tab w:pos="8844" w:val="right" w:leader="dot"/>
        </w:tabs>
        <w:spacing w:line="480" w:lineRule="exact" w:before="0" w:after="0"/>
      </w:pPr>
      <w:r>
        <w:rPr>
          <w:rFonts w:ascii="Times New Roman" w:hAnsi="Times New Roman" w:eastAsia="黑体" w:cs="Times New Roman"/>
          <w:sz w:val="28"/>
        </w:rPr>
        <w:t>第三章　重点服务与合作机会</w:t>
      </w:r>
      <w:r>
        <w:rPr>
          <w:rFonts w:ascii="Times New Roman" w:hAnsi="Times New Roman" w:eastAsia="黑体" w:cs="Times New Roman"/>
          <w:sz w:val="28"/>
        </w:rPr>
        <w:tab/>
      </w:r>
      <w:r>
        <w:rPr>
          <w:rFonts w:ascii="Times New Roman" w:hAnsi="Times New Roman" w:eastAsia="黑体" w:cs="Times New Roman"/>
          <w:sz w:val="28"/>
        </w:rPr>
        <w:t>13</w:t>
      </w:r>
    </w:p>
    <w:p>
      <w:pPr>
        <w:pStyle w:val="31"/>
        <w:tabs>
          <w:tab w:pos="8844" w:val="right" w:leader="dot"/>
        </w:tabs>
        <w:spacing w:line="480" w:lineRule="exact" w:before="0" w:after="0"/>
      </w:pPr>
      <w:r>
        <w:rPr>
          <w:rFonts w:ascii="Times New Roman" w:hAnsi="Times New Roman" w:eastAsia="仿宋_GB2312" w:cs="Times New Roman"/>
          <w:sz w:val="28"/>
        </w:rPr>
        <w:t>一、总体服务体系</w:t>
      </w:r>
      <w:r>
        <w:rPr>
          <w:rFonts w:ascii="Times New Roman" w:hAnsi="Times New Roman" w:eastAsia="仿宋_GB2312" w:cs="Times New Roman"/>
          <w:sz w:val="28"/>
        </w:rPr>
        <w:tab/>
      </w:r>
      <w:r>
        <w:rPr>
          <w:rFonts w:ascii="Times New Roman" w:hAnsi="Times New Roman" w:eastAsia="仿宋_GB2312" w:cs="Times New Roman"/>
          <w:sz w:val="28"/>
        </w:rPr>
        <w:t>13</w:t>
      </w:r>
    </w:p>
    <w:p>
      <w:pPr>
        <w:pStyle w:val="31"/>
        <w:tabs>
          <w:tab w:pos="8844" w:val="right" w:leader="dot"/>
        </w:tabs>
        <w:spacing w:line="480" w:lineRule="exact" w:before="0" w:after="0"/>
      </w:pPr>
      <w:r>
        <w:rPr>
          <w:rFonts w:ascii="Times New Roman" w:hAnsi="Times New Roman" w:eastAsia="仿宋_GB2312" w:cs="Times New Roman"/>
          <w:sz w:val="28"/>
        </w:rPr>
        <w:t>二、场景服务体系</w:t>
      </w:r>
      <w:r>
        <w:rPr>
          <w:rFonts w:ascii="Times New Roman" w:hAnsi="Times New Roman" w:eastAsia="仿宋_GB2312" w:cs="Times New Roman"/>
          <w:sz w:val="28"/>
        </w:rPr>
        <w:tab/>
      </w:r>
      <w:r>
        <w:rPr>
          <w:rFonts w:ascii="Times New Roman" w:hAnsi="Times New Roman" w:eastAsia="仿宋_GB2312" w:cs="Times New Roman"/>
          <w:sz w:val="28"/>
        </w:rPr>
        <w:t>14</w:t>
      </w:r>
    </w:p>
    <w:p>
      <w:pPr>
        <w:pStyle w:val="31"/>
        <w:tabs>
          <w:tab w:pos="8844" w:val="right" w:leader="dot"/>
        </w:tabs>
        <w:spacing w:line="480" w:lineRule="exact" w:before="0" w:after="0"/>
      </w:pPr>
      <w:r>
        <w:rPr>
          <w:rFonts w:ascii="Times New Roman" w:hAnsi="Times New Roman" w:eastAsia="仿宋_GB2312" w:cs="Times New Roman"/>
          <w:sz w:val="28"/>
        </w:rPr>
        <w:t>三、重点合作方向</w:t>
      </w:r>
      <w:r>
        <w:rPr>
          <w:rFonts w:ascii="Times New Roman" w:hAnsi="Times New Roman" w:eastAsia="仿宋_GB2312" w:cs="Times New Roman"/>
          <w:sz w:val="28"/>
        </w:rPr>
        <w:tab/>
      </w:r>
      <w:r>
        <w:rPr>
          <w:rFonts w:ascii="Times New Roman" w:hAnsi="Times New Roman" w:eastAsia="仿宋_GB2312" w:cs="Times New Roman"/>
          <w:sz w:val="28"/>
        </w:rPr>
        <w:t>15</w:t>
      </w:r>
    </w:p>
    <w:p>
      <w:pPr>
        <w:pStyle w:val="31"/>
        <w:tabs>
          <w:tab w:pos="8844" w:val="right" w:leader="dot"/>
        </w:tabs>
        <w:spacing w:line="480" w:lineRule="exact" w:before="0" w:after="0"/>
      </w:pPr>
      <w:r>
        <w:rPr>
          <w:rFonts w:ascii="Times New Roman" w:hAnsi="Times New Roman" w:eastAsia="仿宋_GB2312" w:cs="Times New Roman"/>
          <w:sz w:val="28"/>
        </w:rPr>
        <w:t>四、储备与拓展方向</w:t>
      </w:r>
      <w:r>
        <w:rPr>
          <w:rFonts w:ascii="Times New Roman" w:hAnsi="Times New Roman" w:eastAsia="仿宋_GB2312" w:cs="Times New Roman"/>
          <w:sz w:val="28"/>
        </w:rPr>
        <w:tab/>
      </w:r>
      <w:r>
        <w:rPr>
          <w:rFonts w:ascii="Times New Roman" w:hAnsi="Times New Roman" w:eastAsia="仿宋_GB2312" w:cs="Times New Roman"/>
          <w:sz w:val="28"/>
        </w:rPr>
        <w:t>19</w:t>
      </w:r>
    </w:p>
    <w:p>
      <w:pPr>
        <w:pStyle w:val="31"/>
        <w:tabs>
          <w:tab w:pos="8844" w:val="right" w:leader="dot"/>
        </w:tabs>
        <w:spacing w:line="480" w:lineRule="exact" w:before="0" w:after="0"/>
      </w:pPr>
      <w:r>
        <w:rPr>
          <w:rFonts w:ascii="Times New Roman" w:hAnsi="Times New Roman" w:eastAsia="仿宋_GB2312" w:cs="Times New Roman"/>
          <w:sz w:val="28"/>
        </w:rPr>
        <w:t>五、服务交付与应用方式</w:t>
      </w:r>
      <w:r>
        <w:rPr>
          <w:rFonts w:ascii="Times New Roman" w:hAnsi="Times New Roman" w:eastAsia="仿宋_GB2312" w:cs="Times New Roman"/>
          <w:sz w:val="28"/>
        </w:rPr>
        <w:tab/>
      </w:r>
      <w:r>
        <w:rPr>
          <w:rFonts w:ascii="Times New Roman" w:hAnsi="Times New Roman" w:eastAsia="仿宋_GB2312" w:cs="Times New Roman"/>
          <w:sz w:val="28"/>
        </w:rPr>
        <w:t>20</w:t>
      </w:r>
    </w:p>
    <w:p>
      <w:pPr>
        <w:pStyle w:val="26"/>
        <w:tabs>
          <w:tab w:pos="8844" w:val="right" w:leader="dot"/>
        </w:tabs>
        <w:spacing w:line="480" w:lineRule="exact" w:before="0" w:after="0"/>
      </w:pPr>
      <w:r>
        <w:rPr>
          <w:rFonts w:ascii="Times New Roman" w:hAnsi="Times New Roman" w:eastAsia="黑体" w:cs="Times New Roman"/>
          <w:sz w:val="28"/>
        </w:rPr>
        <w:t>第四章　合作模式与保障机制</w:t>
      </w:r>
      <w:r>
        <w:rPr>
          <w:rFonts w:ascii="Times New Roman" w:hAnsi="Times New Roman" w:eastAsia="黑体" w:cs="Times New Roman"/>
          <w:sz w:val="28"/>
        </w:rPr>
        <w:tab/>
      </w:r>
      <w:r>
        <w:rPr>
          <w:rFonts w:ascii="Times New Roman" w:hAnsi="Times New Roman" w:eastAsia="黑体" w:cs="Times New Roman"/>
          <w:sz w:val="28"/>
        </w:rPr>
        <w:t>22</w:t>
      </w:r>
    </w:p>
    <w:p>
      <w:pPr>
        <w:pStyle w:val="31"/>
        <w:tabs>
          <w:tab w:pos="8844" w:val="right" w:leader="dot"/>
        </w:tabs>
        <w:spacing w:line="480" w:lineRule="exact" w:before="0" w:after="0"/>
      </w:pPr>
      <w:r>
        <w:rPr>
          <w:rFonts w:ascii="Times New Roman" w:hAnsi="Times New Roman" w:eastAsia="仿宋_GB2312" w:cs="Times New Roman"/>
          <w:sz w:val="28"/>
        </w:rPr>
        <w:t>一、合作伙伴类型</w:t>
      </w:r>
      <w:r>
        <w:rPr>
          <w:rFonts w:ascii="Times New Roman" w:hAnsi="Times New Roman" w:eastAsia="仿宋_GB2312" w:cs="Times New Roman"/>
          <w:sz w:val="28"/>
        </w:rPr>
        <w:tab/>
      </w:r>
      <w:r>
        <w:rPr>
          <w:rFonts w:ascii="Times New Roman" w:hAnsi="Times New Roman" w:eastAsia="仿宋_GB2312" w:cs="Times New Roman"/>
          <w:sz w:val="28"/>
        </w:rPr>
        <w:t>22</w:t>
      </w:r>
    </w:p>
    <w:p>
      <w:pPr>
        <w:pStyle w:val="31"/>
        <w:tabs>
          <w:tab w:pos="8844" w:val="right" w:leader="dot"/>
        </w:tabs>
        <w:spacing w:line="480" w:lineRule="exact" w:before="0" w:after="0"/>
      </w:pPr>
      <w:r>
        <w:rPr>
          <w:rFonts w:ascii="Times New Roman" w:hAnsi="Times New Roman" w:eastAsia="仿宋_GB2312" w:cs="Times New Roman"/>
          <w:sz w:val="28"/>
        </w:rPr>
        <w:t>二、合作模式</w:t>
      </w:r>
      <w:r>
        <w:rPr>
          <w:rFonts w:ascii="Times New Roman" w:hAnsi="Times New Roman" w:eastAsia="仿宋_GB2312" w:cs="Times New Roman"/>
          <w:sz w:val="28"/>
        </w:rPr>
        <w:tab/>
      </w:r>
      <w:r>
        <w:rPr>
          <w:rFonts w:ascii="Times New Roman" w:hAnsi="Times New Roman" w:eastAsia="仿宋_GB2312" w:cs="Times New Roman"/>
          <w:sz w:val="28"/>
        </w:rPr>
        <w:t>23</w:t>
      </w:r>
    </w:p>
    <w:p>
      <w:pPr>
        <w:pStyle w:val="31"/>
        <w:tabs>
          <w:tab w:pos="8844" w:val="right" w:leader="dot"/>
        </w:tabs>
        <w:spacing w:line="480" w:lineRule="exact" w:before="0" w:after="0"/>
      </w:pPr>
      <w:r>
        <w:rPr>
          <w:rFonts w:ascii="Times New Roman" w:hAnsi="Times New Roman" w:eastAsia="仿宋_GB2312" w:cs="Times New Roman"/>
          <w:sz w:val="28"/>
        </w:rPr>
        <w:t>三、平台支持内容</w:t>
      </w:r>
      <w:r>
        <w:rPr>
          <w:rFonts w:ascii="Times New Roman" w:hAnsi="Times New Roman" w:eastAsia="仿宋_GB2312" w:cs="Times New Roman"/>
          <w:sz w:val="28"/>
        </w:rPr>
        <w:tab/>
      </w:r>
      <w:r>
        <w:rPr>
          <w:rFonts w:ascii="Times New Roman" w:hAnsi="Times New Roman" w:eastAsia="仿宋_GB2312" w:cs="Times New Roman"/>
          <w:sz w:val="28"/>
        </w:rPr>
        <w:t>24</w:t>
      </w:r>
    </w:p>
    <w:p>
      <w:pPr>
        <w:pStyle w:val="31"/>
        <w:tabs>
          <w:tab w:pos="8844" w:val="right" w:leader="dot"/>
        </w:tabs>
        <w:spacing w:line="480" w:lineRule="exact" w:before="0" w:after="0"/>
      </w:pPr>
      <w:r>
        <w:rPr>
          <w:rFonts w:ascii="Times New Roman" w:hAnsi="Times New Roman" w:eastAsia="仿宋_GB2312" w:cs="Times New Roman"/>
          <w:sz w:val="28"/>
        </w:rPr>
        <w:t>四、基本商务机制</w:t>
      </w:r>
      <w:r>
        <w:rPr>
          <w:rFonts w:ascii="Times New Roman" w:hAnsi="Times New Roman" w:eastAsia="仿宋_GB2312" w:cs="Times New Roman"/>
          <w:sz w:val="28"/>
        </w:rPr>
        <w:tab/>
      </w:r>
      <w:r>
        <w:rPr>
          <w:rFonts w:ascii="Times New Roman" w:hAnsi="Times New Roman" w:eastAsia="仿宋_GB2312" w:cs="Times New Roman"/>
          <w:sz w:val="28"/>
        </w:rPr>
        <w:t>25</w:t>
      </w:r>
    </w:p>
    <w:p>
      <w:pPr>
        <w:pStyle w:val="31"/>
        <w:tabs>
          <w:tab w:pos="8844" w:val="right" w:leader="dot"/>
        </w:tabs>
        <w:spacing w:line="480" w:lineRule="exact" w:before="0" w:after="0"/>
      </w:pPr>
      <w:r>
        <w:rPr>
          <w:rFonts w:ascii="Times New Roman" w:hAnsi="Times New Roman" w:eastAsia="仿宋_GB2312" w:cs="Times New Roman"/>
          <w:sz w:val="28"/>
        </w:rPr>
        <w:t>五、数据安全、权利与衍生成果保障</w:t>
      </w:r>
      <w:r>
        <w:rPr>
          <w:rFonts w:ascii="Times New Roman" w:hAnsi="Times New Roman" w:eastAsia="仿宋_GB2312" w:cs="Times New Roman"/>
          <w:sz w:val="28"/>
        </w:rPr>
        <w:tab/>
      </w:r>
      <w:r>
        <w:rPr>
          <w:rFonts w:ascii="Times New Roman" w:hAnsi="Times New Roman" w:eastAsia="仿宋_GB2312" w:cs="Times New Roman"/>
          <w:sz w:val="28"/>
        </w:rPr>
        <w:t>26</w:t>
      </w:r>
    </w:p>
    <w:p>
      <w:pPr>
        <w:pStyle w:val="31"/>
        <w:tabs>
          <w:tab w:pos="8844" w:val="right" w:leader="dot"/>
        </w:tabs>
        <w:spacing w:line="480" w:lineRule="exact" w:before="0" w:after="0"/>
      </w:pPr>
      <w:r>
        <w:rPr>
          <w:rFonts w:ascii="Times New Roman" w:hAnsi="Times New Roman" w:eastAsia="仿宋_GB2312" w:cs="Times New Roman"/>
          <w:sz w:val="28"/>
        </w:rPr>
        <w:t>六、服务质量与风险保障</w:t>
      </w:r>
      <w:r>
        <w:rPr>
          <w:rFonts w:ascii="Times New Roman" w:hAnsi="Times New Roman" w:eastAsia="仿宋_GB2312" w:cs="Times New Roman"/>
          <w:sz w:val="28"/>
        </w:rPr>
        <w:tab/>
      </w:r>
      <w:r>
        <w:rPr>
          <w:rFonts w:ascii="Times New Roman" w:hAnsi="Times New Roman" w:eastAsia="仿宋_GB2312" w:cs="Times New Roman"/>
          <w:sz w:val="28"/>
        </w:rPr>
        <w:t>27</w:t>
      </w:r>
    </w:p>
    <w:p>
      <w:pPr>
        <w:pStyle w:val="26"/>
        <w:tabs>
          <w:tab w:pos="8844" w:val="right" w:leader="dot"/>
        </w:tabs>
        <w:spacing w:line="480" w:lineRule="exact" w:before="0" w:after="0"/>
      </w:pPr>
      <w:r>
        <w:rPr>
          <w:rFonts w:ascii="Times New Roman" w:hAnsi="Times New Roman" w:eastAsia="黑体" w:cs="Times New Roman"/>
          <w:sz w:val="28"/>
        </w:rPr>
        <w:t>第五章　合作对接与推进安排</w:t>
      </w:r>
      <w:r>
        <w:rPr>
          <w:rFonts w:ascii="Times New Roman" w:hAnsi="Times New Roman" w:eastAsia="黑体" w:cs="Times New Roman"/>
          <w:sz w:val="28"/>
        </w:rPr>
        <w:tab/>
      </w:r>
      <w:r>
        <w:rPr>
          <w:rFonts w:ascii="Times New Roman" w:hAnsi="Times New Roman" w:eastAsia="黑体" w:cs="Times New Roman"/>
          <w:sz w:val="28"/>
        </w:rPr>
        <w:t>29</w:t>
      </w:r>
    </w:p>
    <w:p>
      <w:pPr>
        <w:pStyle w:val="31"/>
        <w:tabs>
          <w:tab w:pos="8844" w:val="right" w:leader="dot"/>
        </w:tabs>
        <w:spacing w:line="480" w:lineRule="exact" w:before="0" w:after="0"/>
      </w:pPr>
      <w:r>
        <w:rPr>
          <w:rFonts w:ascii="Times New Roman" w:hAnsi="Times New Roman" w:eastAsia="仿宋_GB2312" w:cs="Times New Roman"/>
          <w:sz w:val="28"/>
        </w:rPr>
        <w:t>一、合作意向登记</w:t>
      </w:r>
      <w:r>
        <w:rPr>
          <w:rFonts w:ascii="Times New Roman" w:hAnsi="Times New Roman" w:eastAsia="仿宋_GB2312" w:cs="Times New Roman"/>
          <w:sz w:val="28"/>
        </w:rPr>
        <w:tab/>
      </w:r>
      <w:r>
        <w:rPr>
          <w:rFonts w:ascii="Times New Roman" w:hAnsi="Times New Roman" w:eastAsia="仿宋_GB2312" w:cs="Times New Roman"/>
          <w:sz w:val="28"/>
        </w:rPr>
        <w:t>29</w:t>
      </w:r>
    </w:p>
    <w:p>
      <w:pPr>
        <w:pStyle w:val="31"/>
        <w:tabs>
          <w:tab w:pos="8844" w:val="right" w:leader="dot"/>
        </w:tabs>
        <w:spacing w:line="480" w:lineRule="exact" w:before="0" w:after="0"/>
      </w:pPr>
      <w:r>
        <w:rPr>
          <w:rFonts w:ascii="Times New Roman" w:hAnsi="Times New Roman" w:eastAsia="仿宋_GB2312" w:cs="Times New Roman"/>
          <w:sz w:val="28"/>
        </w:rPr>
        <w:t>二、资源与需求对接</w:t>
      </w:r>
      <w:r>
        <w:rPr>
          <w:rFonts w:ascii="Times New Roman" w:hAnsi="Times New Roman" w:eastAsia="仿宋_GB2312" w:cs="Times New Roman"/>
          <w:sz w:val="28"/>
        </w:rPr>
        <w:tab/>
      </w:r>
      <w:r>
        <w:rPr>
          <w:rFonts w:ascii="Times New Roman" w:hAnsi="Times New Roman" w:eastAsia="仿宋_GB2312" w:cs="Times New Roman"/>
          <w:sz w:val="28"/>
        </w:rPr>
        <w:t>29</w:t>
      </w:r>
    </w:p>
    <w:p>
      <w:pPr>
        <w:pStyle w:val="31"/>
        <w:tabs>
          <w:tab w:pos="8844" w:val="right" w:leader="dot"/>
        </w:tabs>
        <w:spacing w:line="480" w:lineRule="exact" w:before="0" w:after="0"/>
      </w:pPr>
      <w:r>
        <w:rPr>
          <w:rFonts w:ascii="Times New Roman" w:hAnsi="Times New Roman" w:eastAsia="仿宋_GB2312" w:cs="Times New Roman"/>
          <w:sz w:val="28"/>
        </w:rPr>
        <w:t>三、合作事项成熟度评估</w:t>
      </w:r>
      <w:r>
        <w:rPr>
          <w:rFonts w:ascii="Times New Roman" w:hAnsi="Times New Roman" w:eastAsia="仿宋_GB2312" w:cs="Times New Roman"/>
          <w:sz w:val="28"/>
        </w:rPr>
        <w:tab/>
      </w:r>
      <w:r>
        <w:rPr>
          <w:rFonts w:ascii="Times New Roman" w:hAnsi="Times New Roman" w:eastAsia="仿宋_GB2312" w:cs="Times New Roman"/>
          <w:sz w:val="28"/>
        </w:rPr>
        <w:t>30</w:t>
      </w:r>
    </w:p>
    <w:p>
      <w:pPr>
        <w:pStyle w:val="31"/>
        <w:tabs>
          <w:tab w:pos="8844" w:val="right" w:leader="dot"/>
        </w:tabs>
        <w:spacing w:line="480" w:lineRule="exact" w:before="0" w:after="0"/>
      </w:pPr>
      <w:r>
        <w:rPr>
          <w:rFonts w:ascii="Times New Roman" w:hAnsi="Times New Roman" w:eastAsia="仿宋_GB2312" w:cs="Times New Roman"/>
          <w:sz w:val="28"/>
        </w:rPr>
        <w:t>四、合作方案深化</w:t>
      </w:r>
      <w:r>
        <w:rPr>
          <w:rFonts w:ascii="Times New Roman" w:hAnsi="Times New Roman" w:eastAsia="仿宋_GB2312" w:cs="Times New Roman"/>
          <w:sz w:val="28"/>
        </w:rPr>
        <w:tab/>
      </w:r>
      <w:r>
        <w:rPr>
          <w:rFonts w:ascii="Times New Roman" w:hAnsi="Times New Roman" w:eastAsia="仿宋_GB2312" w:cs="Times New Roman"/>
          <w:sz w:val="28"/>
        </w:rPr>
        <w:t>31</w:t>
      </w:r>
    </w:p>
    <w:p>
      <w:pPr>
        <w:pStyle w:val="31"/>
        <w:tabs>
          <w:tab w:pos="8844" w:val="right" w:leader="dot"/>
        </w:tabs>
        <w:spacing w:line="480" w:lineRule="exact" w:before="0" w:after="0"/>
      </w:pPr>
      <w:r>
        <w:rPr>
          <w:rFonts w:ascii="Times New Roman" w:hAnsi="Times New Roman" w:eastAsia="仿宋_GB2312" w:cs="Times New Roman"/>
          <w:sz w:val="28"/>
        </w:rPr>
        <w:t>五、试点验证</w:t>
      </w:r>
      <w:r>
        <w:rPr>
          <w:rFonts w:ascii="Times New Roman" w:hAnsi="Times New Roman" w:eastAsia="仿宋_GB2312" w:cs="Times New Roman"/>
          <w:sz w:val="28"/>
        </w:rPr>
        <w:tab/>
      </w:r>
      <w:r>
        <w:rPr>
          <w:rFonts w:ascii="Times New Roman" w:hAnsi="Times New Roman" w:eastAsia="仿宋_GB2312" w:cs="Times New Roman"/>
          <w:sz w:val="28"/>
        </w:rPr>
        <w:t>31</w:t>
      </w:r>
    </w:p>
    <w:p>
      <w:pPr>
        <w:pStyle w:val="31"/>
        <w:tabs>
          <w:tab w:pos="8844" w:val="right" w:leader="dot"/>
        </w:tabs>
        <w:spacing w:line="480" w:lineRule="exact" w:before="0" w:after="0"/>
      </w:pPr>
      <w:r>
        <w:rPr>
          <w:rFonts w:ascii="Times New Roman" w:hAnsi="Times New Roman" w:eastAsia="仿宋_GB2312" w:cs="Times New Roman"/>
          <w:sz w:val="28"/>
        </w:rPr>
        <w:t>六、正式运营与复制推广</w:t>
      </w:r>
      <w:r>
        <w:rPr>
          <w:rFonts w:ascii="Times New Roman" w:hAnsi="Times New Roman" w:eastAsia="仿宋_GB2312" w:cs="Times New Roman"/>
          <w:sz w:val="28"/>
        </w:rPr>
        <w:tab/>
      </w:r>
      <w:r>
        <w:rPr>
          <w:rFonts w:ascii="Times New Roman" w:hAnsi="Times New Roman" w:eastAsia="仿宋_GB2312" w:cs="Times New Roman"/>
          <w:sz w:val="28"/>
        </w:rPr>
        <w:t>32</w:t>
      </w:r>
    </w:p>
    <w:p>
      <w:pPr>
        <w:pStyle w:val="26"/>
        <w:tabs>
          <w:tab w:pos="8844" w:val="right" w:leader="dot"/>
        </w:tabs>
        <w:spacing w:line="480" w:lineRule="exact" w:before="0" w:after="0"/>
      </w:pPr>
      <w:r>
        <w:rPr>
          <w:rFonts w:ascii="Times New Roman" w:hAnsi="Times New Roman" w:eastAsia="黑体" w:cs="Times New Roman"/>
          <w:sz w:val="28"/>
        </w:rPr>
        <w:t>结束语</w:t>
      </w:r>
      <w:r>
        <w:rPr>
          <w:rFonts w:ascii="Times New Roman" w:hAnsi="Times New Roman" w:eastAsia="黑体" w:cs="Times New Roman"/>
          <w:sz w:val="28"/>
        </w:rPr>
        <w:tab/>
      </w:r>
      <w:r>
        <w:rPr>
          <w:rFonts w:ascii="Times New Roman" w:hAnsi="Times New Roman" w:eastAsia="黑体" w:cs="Times New Roman"/>
          <w:sz w:val="28"/>
        </w:rPr>
        <w:t>34</w:t>
      </w:r>
    </w:p>
    <w:p>
      <w:pPr>
        <w:pStyle w:val="26"/>
        <w:tabs>
          <w:tab w:pos="8844" w:val="right" w:leader="dot"/>
        </w:tabs>
        <w:spacing w:line="480" w:lineRule="exact" w:before="0" w:after="0"/>
      </w:pPr>
      <w:r>
        <w:rPr>
          <w:rFonts w:ascii="Times New Roman" w:hAnsi="Times New Roman" w:eastAsia="黑体" w:cs="Times New Roman"/>
          <w:sz w:val="28"/>
        </w:rPr>
        <w:t>附件一　合作伙伴资源与能力登记要点</w:t>
      </w:r>
      <w:r>
        <w:rPr>
          <w:rFonts w:ascii="Times New Roman" w:hAnsi="Times New Roman" w:eastAsia="黑体" w:cs="Times New Roman"/>
          <w:sz w:val="28"/>
        </w:rPr>
        <w:tab/>
      </w:r>
      <w:r>
        <w:rPr>
          <w:rFonts w:ascii="Times New Roman" w:hAnsi="Times New Roman" w:eastAsia="黑体" w:cs="Times New Roman"/>
          <w:sz w:val="28"/>
        </w:rPr>
        <w:t>35</w:t>
      </w:r>
    </w:p>
    <w:p>
      <w:pPr>
        <w:pStyle w:val="26"/>
        <w:tabs>
          <w:tab w:pos="8844" w:val="right" w:leader="dot"/>
        </w:tabs>
        <w:spacing w:line="480" w:lineRule="exact" w:before="0" w:after="0"/>
      </w:pPr>
      <w:r>
        <w:rPr>
          <w:rFonts w:ascii="Times New Roman" w:hAnsi="Times New Roman" w:eastAsia="黑体" w:cs="Times New Roman"/>
          <w:sz w:val="28"/>
        </w:rPr>
        <w:t>附件二　产品及场景服务说明要点</w:t>
      </w:r>
      <w:r>
        <w:rPr>
          <w:rFonts w:ascii="Times New Roman" w:hAnsi="Times New Roman" w:eastAsia="黑体" w:cs="Times New Roman"/>
          <w:sz w:val="28"/>
        </w:rPr>
        <w:tab/>
      </w:r>
      <w:r>
        <w:rPr>
          <w:rFonts w:ascii="Times New Roman" w:hAnsi="Times New Roman" w:eastAsia="黑体" w:cs="Times New Roman"/>
          <w:sz w:val="28"/>
        </w:rPr>
        <w:t>37</w:t>
      </w:r>
    </w:p>
    <w:p>
      <w:pPr>
        <w:pStyle w:val="26"/>
        <w:tabs>
          <w:tab w:pos="8844" w:val="right" w:leader="dot"/>
        </w:tabs>
        <w:spacing w:line="480" w:lineRule="exact" w:before="0" w:after="0"/>
      </w:pPr>
      <w:r>
        <w:rPr>
          <w:rFonts w:ascii="Times New Roman" w:hAnsi="Times New Roman" w:eastAsia="黑体" w:cs="Times New Roman"/>
          <w:sz w:val="28"/>
        </w:rPr>
        <w:t>附件三　合作事项成熟度评估要点</w:t>
      </w:r>
      <w:r>
        <w:rPr>
          <w:rFonts w:ascii="Times New Roman" w:hAnsi="Times New Roman" w:eastAsia="黑体" w:cs="Times New Roman"/>
          <w:sz w:val="28"/>
        </w:rPr>
        <w:tab/>
      </w:r>
      <w:r>
        <w:rPr>
          <w:rFonts w:ascii="Times New Roman" w:hAnsi="Times New Roman" w:eastAsia="黑体" w:cs="Times New Roman"/>
          <w:sz w:val="28"/>
        </w:rPr>
        <w:t>40</w:t>
      </w:r>
    </w:p>
    <w:p>
      <w:pPr>
        <w:pStyle w:val="26"/>
        <w:tabs>
          <w:tab w:pos="8844" w:val="right" w:leader="dot"/>
        </w:tabs>
        <w:spacing w:line="480" w:lineRule="exact" w:before="0" w:after="0"/>
      </w:pPr>
      <w:r>
        <w:rPr>
          <w:rFonts w:ascii="Times New Roman" w:hAnsi="Times New Roman" w:eastAsia="黑体" w:cs="Times New Roman"/>
          <w:sz w:val="28"/>
        </w:rPr>
        <w:t>附件四　试点实施与验收要点</w:t>
      </w:r>
      <w:r>
        <w:rPr>
          <w:rFonts w:ascii="Times New Roman" w:hAnsi="Times New Roman" w:eastAsia="黑体" w:cs="Times New Roman"/>
          <w:sz w:val="28"/>
        </w:rPr>
        <w:tab/>
      </w:r>
      <w:r>
        <w:rPr>
          <w:rFonts w:ascii="Times New Roman" w:hAnsi="Times New Roman" w:eastAsia="黑体" w:cs="Times New Roman"/>
          <w:sz w:val="28"/>
        </w:rPr>
        <w:t>42</w:t>
      </w:r>
    </w:p>
    <w:p>
      <w:pPr>
        <w:pStyle w:val="26"/>
        <w:tabs>
          <w:tab w:pos="8844" w:val="right" w:leader="dot"/>
        </w:tabs>
        <w:spacing w:line="480" w:lineRule="exact" w:before="0" w:after="0"/>
      </w:pPr>
      <w:r>
        <w:rPr>
          <w:rFonts w:ascii="Times New Roman" w:hAnsi="Times New Roman" w:eastAsia="黑体" w:cs="Times New Roman"/>
          <w:sz w:val="28"/>
        </w:rPr>
        <w:t>附件五　服务计量、账单与结算要点</w:t>
      </w:r>
      <w:r>
        <w:rPr>
          <w:rFonts w:ascii="Times New Roman" w:hAnsi="Times New Roman" w:eastAsia="黑体" w:cs="Times New Roman"/>
          <w:sz w:val="28"/>
        </w:rPr>
        <w:tab/>
      </w:r>
      <w:r>
        <w:rPr>
          <w:rFonts w:ascii="Times New Roman" w:hAnsi="Times New Roman" w:eastAsia="黑体" w:cs="Times New Roman"/>
          <w:sz w:val="28"/>
        </w:rPr>
        <w:t>44</w:t>
      </w:r>
    </w:p>
    <w:p>
      <w:pPr>
        <w:pStyle w:val="26"/>
        <w:tabs>
          <w:tab w:pos="8844" w:val="right" w:leader="dot"/>
        </w:tabs>
        <w:spacing w:line="480" w:lineRule="exact" w:before="0" w:after="0"/>
      </w:pPr>
      <w:r>
        <w:rPr>
          <w:rFonts w:ascii="Times New Roman" w:hAnsi="Times New Roman" w:eastAsia="黑体" w:cs="Times New Roman"/>
          <w:sz w:val="28"/>
        </w:rPr>
        <w:t>附件六　数据分类分级与交付方式适配要点</w:t>
      </w:r>
      <w:r>
        <w:rPr>
          <w:rFonts w:ascii="Times New Roman" w:hAnsi="Times New Roman" w:eastAsia="黑体" w:cs="Times New Roman"/>
          <w:sz w:val="28"/>
        </w:rPr>
        <w:tab/>
      </w:r>
      <w:r>
        <w:rPr>
          <w:rFonts w:ascii="Times New Roman" w:hAnsi="Times New Roman" w:eastAsia="黑体" w:cs="Times New Roman"/>
          <w:sz w:val="28"/>
        </w:rPr>
        <w:t>47</w:t>
      </w:r>
    </w:p>
    <w:p>
      <w:pPr>
        <w:pStyle w:val="26"/>
        <w:tabs>
          <w:tab w:pos="8844" w:val="right" w:leader="dot"/>
        </w:tabs>
        <w:spacing w:line="480" w:lineRule="exact" w:before="0" w:after="0"/>
      </w:pPr>
      <w:r>
        <w:rPr>
          <w:rFonts w:ascii="Times New Roman" w:hAnsi="Times New Roman" w:eastAsia="黑体" w:cs="Times New Roman"/>
          <w:sz w:val="28"/>
        </w:rPr>
        <w:t>附件七　商务报价与收益分配参考模型</w:t>
      </w:r>
      <w:r>
        <w:rPr>
          <w:rFonts w:ascii="Times New Roman" w:hAnsi="Times New Roman" w:eastAsia="黑体" w:cs="Times New Roman"/>
          <w:sz w:val="28"/>
        </w:rPr>
        <w:tab/>
      </w:r>
      <w:r>
        <w:rPr>
          <w:rFonts w:ascii="Times New Roman" w:hAnsi="Times New Roman" w:eastAsia="黑体" w:cs="Times New Roman"/>
          <w:sz w:val="28"/>
        </w:rPr>
        <w:t>49</w:t>
      </w:r>
    </w:p>
    <w:p w14:paraId="6DAC0024">
      <w:pPr>
        <w:pStyle w:val="26"/>
        <w:tabs>
          <w:tab w:val="right" w:leader="dot" w:pos="8844"/>
        </w:tabs>
        <w:spacing w:line="480" w:lineRule="exact" w:before="0" w:after="0"/>
        <w:sectPr>
          <w:headerReference r:id="rId13" w:type="first"/>
          <w:footerReference r:id="rId16" w:type="first"/>
          <w:headerReference r:id="rId11" w:type="default"/>
          <w:footerReference r:id="rId14" w:type="default"/>
          <w:headerReference r:id="rId12" w:type="even"/>
          <w:footerReference r:id="rId15" w:type="even"/>
          <w:pgSz w:w="11906" w:h="16838"/>
          <w:pgMar w:top="2098" w:right="1474" w:bottom="1984" w:left="1587" w:header="850" w:footer="397" w:gutter="0"/>
          <w:pgNumType w:fmt="decimal"/>
          <w:cols w:space="720" w:num="1"/>
          <w:formProt w:val="0"/>
          <w:docGrid w:type="lines" w:linePitch="580" w:charSpace="0"/>
        </w:sectPr>
      </w:pPr>
    </w:p>
    <w:p>
      <w:pPr>
        <w:pStyle w:val="3"/>
        <w:keepNext/>
        <w:pageBreakBefore/>
        <w:spacing w:line="580" w:lineRule="exact" w:before="0" w:after="0"/>
        <w:ind w:left="0" w:right="0" w:firstLine="0"/>
        <w:jc w:val="center"/>
      </w:pPr>
      <w:r>
        <w:rPr>
          <w:rFonts w:ascii="Times New Roman" w:hAnsi="Times New Roman" w:eastAsia="方正小标宋简体" w:cs="Times New Roman"/>
          <w:sz w:val="32"/>
          <w:color w:val="000000"/>
        </w:rPr>
        <w:t>第一章　建设背景与合作基础</w:t>
      </w:r>
    </w:p>
    <w:p>
      <w:pPr>
        <w:pStyle w:val="4"/>
        <w:keepNext/>
        <w:spacing w:line="580" w:lineRule="exact" w:before="0" w:after="0"/>
        <w:ind w:left="0" w:right="0" w:firstLine="0"/>
        <w:jc w:val="left"/>
      </w:pPr>
      <w:r>
        <w:rPr>
          <w:rFonts w:ascii="Times New Roman" w:hAnsi="Times New Roman" w:eastAsia="黑体" w:cs="Times New Roman"/>
          <w:sz w:val="32"/>
          <w:color w:val="000000"/>
        </w:rPr>
        <w:t>一、建设背景</w:t>
      </w:r>
    </w:p>
    <w:p>
      <w:pPr>
        <w:spacing w:line="580" w:lineRule="exact" w:before="0" w:after="0"/>
        <w:ind w:left="0" w:right="0" w:firstLine="640"/>
        <w:jc w:val="both"/>
      </w:pPr>
      <w:r>
        <w:rPr>
          <w:rFonts w:ascii="Times New Roman" w:hAnsi="Times New Roman" w:eastAsia="仿宋_GB2312" w:cs="Times New Roman"/>
          <w:sz w:val="32"/>
          <w:color w:val="000000"/>
        </w:rPr>
        <w:t>电力行业是国民经济基础性、战略性行业，覆盖电力生产、传输、消费以及装备制造、工程建设、科研教育和专业服务等完整产业链。随着新型能源体系和新型电力系统加快建设，电力业务数字化、市场化和智能化程度持续提升，跨主体、跨系统、跨领域的数据协同和专业能力协同需求不断增长。行业需要形成稳定的资源连接、可信使用、产品组织和持续服务基础，推动分散的数据、知识、模型和专业能力转化为可持续供给。</w:t>
      </w:r>
    </w:p>
    <w:p>
      <w:pPr>
        <w:pStyle w:val="176"/>
        <w:spacing w:line="580" w:lineRule="exact" w:before="0" w:after="0"/>
        <w:ind w:left="0" w:right="0" w:firstLine="640"/>
        <w:jc w:val="both"/>
      </w:pPr>
      <w:r>
        <w:rPr>
          <w:rFonts w:ascii="Times New Roman" w:hAnsi="Times New Roman" w:eastAsia="仿宋_GB2312" w:cs="Times New Roman"/>
          <w:sz w:val="32"/>
          <w:color w:val="000000"/>
        </w:rPr>
        <w:t>一是业务需求持续增长。新能源大规模接入、电力市场化改革深化以及人工智能与能源电力业务加快融合，对多源数据、专业知识、预测模型、持续监测和智能服务提出更高要求。生产运行、供需平衡、设备管理、交易决策、燃料采购、经营分析、绿色低碳、科研教育等业务，对跨主体资源协同的依赖持续增强。</w:t>
      </w:r>
    </w:p>
    <w:p>
      <w:pPr>
        <w:pStyle w:val="176"/>
        <w:spacing w:line="580" w:lineRule="exact" w:before="0" w:after="0"/>
        <w:ind w:left="0" w:right="0" w:firstLine="640"/>
        <w:jc w:val="both"/>
      </w:pPr>
      <w:r>
        <w:rPr>
          <w:rFonts w:ascii="Times New Roman" w:hAnsi="Times New Roman" w:eastAsia="仿宋_GB2312" w:cs="Times New Roman"/>
          <w:sz w:val="32"/>
          <w:color w:val="000000"/>
        </w:rPr>
        <w:t>二是行业资源较为分散。数据、知识、模型、算法和专业能力分布在不同法人主体、业务系统和安全域内，目录标识、数据口径、接口方式、质量标准、授权条件和版本管理尚未完全统一，资源发现、技术适配、合规沟通和持续维护成本较高。复杂业务问题还需要数据资源、模型算法、专家知识、技术实施和持续服务能力共同参与，单一主体内部资源难以完整覆盖。</w:t>
      </w:r>
    </w:p>
    <w:p>
      <w:pPr>
        <w:pStyle w:val="176"/>
        <w:spacing w:line="580" w:lineRule="exact" w:before="0" w:after="0"/>
        <w:ind w:left="0" w:right="0" w:firstLine="640"/>
        <w:jc w:val="both"/>
      </w:pPr>
      <w:r>
        <w:rPr>
          <w:rFonts w:ascii="Times New Roman" w:hAnsi="Times New Roman" w:eastAsia="仿宋_GB2312" w:cs="Times New Roman"/>
          <w:sz w:val="32"/>
          <w:color w:val="000000"/>
        </w:rPr>
        <w:t>三是规模化服务机制仍需完善。资源提供方关注控制权、使用用途、成果边界和合理收益，需求方关注质量、交付稳定性、安全责任和服务保障。行业需要进一步完善资源登记、产品封装、授权执行、可信交付、服务计量、客户评价和价值结算机制，形成从资源供给到业务应用、从单项试点到持续运营的完整闭环。</w:t>
      </w:r>
    </w:p>
    <w:p>
      <w:pPr>
        <w:pStyle w:val="4"/>
        <w:keepNext/>
        <w:spacing w:line="580" w:lineRule="exact" w:before="0" w:after="0"/>
        <w:ind w:left="0" w:right="0" w:firstLine="0"/>
        <w:jc w:val="left"/>
      </w:pPr>
      <w:r>
        <w:rPr>
          <w:rFonts w:ascii="Times New Roman" w:hAnsi="Times New Roman" w:eastAsia="黑体" w:cs="Times New Roman"/>
          <w:sz w:val="32"/>
          <w:color w:val="000000"/>
        </w:rPr>
        <w:t>二、总体定位</w:t>
      </w:r>
    </w:p>
    <w:p>
      <w:pPr>
        <w:spacing w:line="580" w:lineRule="exact" w:before="0" w:after="0"/>
        <w:ind w:left="0" w:right="0" w:firstLine="640"/>
        <w:jc w:val="both"/>
      </w:pPr>
      <w:r>
        <w:rPr>
          <w:rFonts w:ascii="Times New Roman" w:hAnsi="Times New Roman" w:eastAsia="仿宋_GB2312" w:cs="Times New Roman"/>
          <w:sz w:val="32"/>
          <w:color w:val="000000"/>
        </w:rPr>
        <w:t>电力领域数据基础设施定位为电力数据要素流通共享的行业中枢和价值释放引擎，通过建设国家数据基础设施电力行业节点、行业数据与专业能力运营平台、多主体协同和价值共创载体，组织行业资源与应用需求高效衔接。</w:t>
      </w:r>
    </w:p>
    <w:p>
      <w:pPr>
        <w:pStyle w:val="176"/>
        <w:spacing w:line="580" w:lineRule="exact" w:before="0" w:after="0"/>
        <w:ind w:left="0" w:right="0" w:firstLine="640"/>
        <w:jc w:val="both"/>
      </w:pPr>
      <w:r>
        <w:rPr>
          <w:rFonts w:ascii="Times New Roman" w:hAnsi="Times New Roman" w:eastAsia="仿宋_GB2312" w:cs="Times New Roman"/>
          <w:sz w:val="32"/>
          <w:color w:val="000000"/>
        </w:rPr>
        <w:t>一是建设国家数据基础设施电力行业节点。按照国家统一部署，逐步衔接全域功能节点、区域节点、其他行业节点及相关数据流通体系，承担电力行业侧主体连接、目录衔接、接口协同、可信流通和场景承接功能，促进不同主体、不同区域和不同系统之间的资源发现、供需衔接和业务协同。</w:t>
      </w:r>
    </w:p>
    <w:p>
      <w:pPr>
        <w:pStyle w:val="176"/>
        <w:spacing w:line="580" w:lineRule="exact" w:before="0" w:after="0"/>
        <w:ind w:left="0" w:right="0" w:firstLine="640"/>
        <w:jc w:val="both"/>
      </w:pPr>
      <w:r>
        <w:rPr>
          <w:rFonts w:ascii="Times New Roman" w:hAnsi="Times New Roman" w:eastAsia="仿宋_GB2312" w:cs="Times New Roman"/>
          <w:sz w:val="32"/>
          <w:color w:val="000000"/>
        </w:rPr>
        <w:t>二是建设行业数据与专业能力运营平台。统一组织数据资源、知识资源、模型算法、专业能力和技术能力，衔接资源登记、产品管理、客户服务、可信交付和运营评价，推动分散资源形成来源明确、权利清晰、质量可控、可订购、可交付、可评价的数据产品、数据服务和场景服务。</w:t>
      </w:r>
    </w:p>
    <w:p>
      <w:pPr>
        <w:pStyle w:val="176"/>
        <w:spacing w:line="580" w:lineRule="exact" w:before="0" w:after="0"/>
        <w:ind w:left="0" w:right="0" w:firstLine="640"/>
        <w:jc w:val="both"/>
      </w:pPr>
      <w:r>
        <w:rPr>
          <w:rFonts w:ascii="Times New Roman" w:hAnsi="Times New Roman" w:eastAsia="仿宋_GB2312" w:cs="Times New Roman"/>
          <w:sz w:val="32"/>
          <w:color w:val="000000"/>
        </w:rPr>
        <w:t>三是建设多主体协同和价值共创载体。组织需求单位、资源方、模型算法方、专业服务方、技术实施方和市场生态方，围绕行业共性需求和客户业务问题开展产品开发、场景共建和持续运营，形成资源共享、能力互补、责任清晰、收益合理的协同机制。</w:t>
      </w:r>
    </w:p>
    <w:p>
      <w:pPr>
        <w:spacing w:line="580" w:lineRule="exact" w:before="0" w:after="0"/>
        <w:ind w:left="0" w:right="0" w:firstLine="640"/>
        <w:jc w:val="both"/>
      </w:pPr>
      <w:r>
        <w:rPr>
          <w:rFonts w:ascii="Times New Roman" w:hAnsi="Times New Roman" w:eastAsia="仿宋_GB2312" w:cs="Times New Roman"/>
          <w:sz w:val="32"/>
          <w:color w:val="000000"/>
        </w:rPr>
        <w:t>平台立足中电联行业引领和服务职能，构建服务国家、赋能行业、支撑中电联内部发展的多层次服务体系，为政府宏观能源决策、能源规划和行业治理提供数据分析支撑，为新型能源体系和新型电力系统建设提供行业数据底座，为电力企业生产经营、科技创新和数字化转型提供专业服务，为产业链上下游及跨行业主体协同创新创造基础条件。</w:t>
      </w:r>
    </w:p>
    <w:p>
      <w:pPr>
        <w:pStyle w:val="4"/>
        <w:keepNext/>
        <w:spacing w:line="580" w:lineRule="exact" w:before="0" w:after="0"/>
        <w:ind w:left="0" w:right="0" w:firstLine="0"/>
        <w:jc w:val="left"/>
      </w:pPr>
      <w:r>
        <w:rPr>
          <w:rFonts w:ascii="Times New Roman" w:hAnsi="Times New Roman" w:eastAsia="黑体" w:cs="Times New Roman"/>
          <w:sz w:val="32"/>
          <w:color w:val="000000"/>
        </w:rPr>
        <w:t>三、建设基础</w:t>
      </w:r>
    </w:p>
    <w:p>
      <w:pPr>
        <w:spacing w:line="580" w:lineRule="exact" w:before="0" w:after="0"/>
        <w:ind w:left="0" w:right="0" w:firstLine="640"/>
        <w:jc w:val="both"/>
      </w:pPr>
      <w:r>
        <w:rPr>
          <w:rFonts w:ascii="Times New Roman" w:hAnsi="Times New Roman" w:eastAsia="仿宋_GB2312" w:cs="Times New Roman"/>
          <w:sz w:val="32"/>
          <w:color w:val="000000"/>
        </w:rPr>
        <w:t>中电联长期承担行业联系、统计分析、标准协调、专业研究、会员服务和政策沟通等职责，已形成组织制度、行业资源、既有平台、场景储备和实施推进等方面基础，具备开展首期产品开发、场景试点和生态合作的条件。</w:t>
      </w:r>
    </w:p>
    <w:p>
      <w:pPr>
        <w:pStyle w:val="176"/>
        <w:spacing w:line="580" w:lineRule="exact" w:before="0" w:after="0"/>
        <w:ind w:left="0" w:right="0" w:firstLine="640"/>
        <w:jc w:val="both"/>
      </w:pPr>
      <w:r>
        <w:rPr>
          <w:rFonts w:ascii="Times New Roman" w:hAnsi="Times New Roman" w:eastAsia="仿宋_GB2312" w:cs="Times New Roman"/>
          <w:sz w:val="32"/>
          <w:color w:val="000000"/>
        </w:rPr>
        <w:t>一是组织制度基础。项目经国家能源主管部门研究并履行相关程序推荐，纳入国家数据基础设施建设先行先试范围。2025年9月，中电联启动电力领域数据基础设施建设先行先试项目并发布行业共建倡议；2025年11月，中电联党委专题审议项目建设方案，成立项目领导小组、工作小组和工作专班，形成重大事项统筹、专业部门协同和运营单位实施机制。</w:t>
      </w:r>
    </w:p>
    <w:p>
      <w:pPr>
        <w:pStyle w:val="176"/>
        <w:spacing w:line="580" w:lineRule="exact" w:before="0" w:after="0"/>
        <w:ind w:left="0" w:right="0" w:firstLine="640"/>
        <w:jc w:val="both"/>
      </w:pPr>
      <w:r>
        <w:rPr>
          <w:rFonts w:ascii="Times New Roman" w:hAnsi="Times New Roman" w:eastAsia="仿宋_GB2312" w:cs="Times New Roman"/>
          <w:sz w:val="32"/>
          <w:color w:val="000000"/>
        </w:rPr>
        <w:t>二是行业资源基础。中电联拥有覆盖电力产业链主要环节的会员生态、专业分支机构和行业服务渠道，在政策标准、行业统计、设备可靠性、绿色低碳、科技成果、信用评价、人才教育和专业研究等方面形成长期积累，为资源组织、产品设计、场景论证和合作推广提供支撑。</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既有平台基础。电力公共信息平台及相关业务平台为资源接入、服务发布、用户服务和运营管理提供既有系统、数据接口和运行经验。项目将在既有系统基础上，按照建设任务逐步完善可信连接、统一目录、产品运营、安全管控和计量结算等共性能力。</w:t>
      </w:r>
    </w:p>
    <w:p>
      <w:pPr>
        <w:pStyle w:val="176"/>
        <w:spacing w:line="580" w:lineRule="exact" w:before="0" w:after="0"/>
        <w:ind w:left="0" w:right="0" w:firstLine="640"/>
        <w:jc w:val="both"/>
      </w:pPr>
      <w:r>
        <w:rPr>
          <w:rFonts w:ascii="Times New Roman" w:hAnsi="Times New Roman" w:eastAsia="仿宋_GB2312" w:cs="Times New Roman"/>
          <w:sz w:val="32"/>
          <w:color w:val="000000"/>
        </w:rPr>
        <w:t>四是场景储备基础。中电联已围绕生产运行、绿色低碳、供需市场、科研教育、成果转化等领域形成一批可进一步论证的场景储备，行业机构、会员单位、科研院所、高等院校和专业服务机构具备参与首期产品开发和场景共建的基础条件。</w:t>
      </w:r>
    </w:p>
    <w:p>
      <w:pPr>
        <w:pStyle w:val="176"/>
        <w:spacing w:line="580" w:lineRule="exact" w:before="0" w:after="0"/>
        <w:ind w:left="0" w:right="0" w:firstLine="640"/>
        <w:jc w:val="both"/>
      </w:pPr>
      <w:r>
        <w:rPr>
          <w:rFonts w:ascii="Times New Roman" w:hAnsi="Times New Roman" w:eastAsia="仿宋_GB2312" w:cs="Times New Roman"/>
          <w:sz w:val="32"/>
          <w:color w:val="000000"/>
        </w:rPr>
        <w:t>五是实施推进基础。项目已完成可行性研究和建设方案论证，进入建设实施准备阶段。平台建设、资源接入、产品开发、场景推进和运营制度建设正在统筹推进，为以真实资源、真实客户和典型业务条件检验技术路线与运营机制创造了条件。</w:t>
      </w:r>
    </w:p>
    <w:p>
      <w:pPr>
        <w:pStyle w:val="4"/>
        <w:keepNext/>
        <w:spacing w:line="580" w:lineRule="exact" w:before="0" w:after="0"/>
        <w:ind w:left="0" w:right="0" w:firstLine="0"/>
        <w:jc w:val="left"/>
      </w:pPr>
      <w:r>
        <w:rPr>
          <w:rFonts w:ascii="Times New Roman" w:hAnsi="Times New Roman" w:eastAsia="黑体" w:cs="Times New Roman"/>
          <w:sz w:val="32"/>
          <w:color w:val="000000"/>
        </w:rPr>
        <w:t>四、建设目标与合作空间</w:t>
      </w:r>
    </w:p>
    <w:p>
      <w:pPr>
        <w:spacing w:line="580" w:lineRule="exact" w:before="0" w:after="0"/>
        <w:ind w:left="0" w:right="0" w:firstLine="640"/>
        <w:jc w:val="both"/>
      </w:pPr>
      <w:r>
        <w:rPr>
          <w:rFonts w:ascii="Times New Roman" w:hAnsi="Times New Roman" w:eastAsia="仿宋_GB2312" w:cs="Times New Roman"/>
          <w:sz w:val="32"/>
          <w:color w:val="000000"/>
        </w:rPr>
        <w:t>项目围绕数据“供得出、流得动、用得好、保安全”的总体要求，重点建设可信连接、统一目录、数据流通利用、产品运营、场景协同、人工智能服务、安全管控和计量结算等能力。按照国家数据基础设施建设第二批先行先试任务安排，项目计划于2026年12月完成初验、2027年6月完成终验；总体建设任务完成时，实现600家以上数据流通利用主体接入，支持5个以上重点行业的跨区域、跨行业数据流通利用，发布不少于1200个数据产品，打造20个以上示范性强、带动性广的典型应用场景。</w:t>
      </w:r>
    </w:p>
    <w:p>
      <w:pPr>
        <w:spacing w:line="580" w:lineRule="exact" w:before="0" w:after="0"/>
        <w:ind w:left="0" w:right="0" w:firstLine="640"/>
        <w:jc w:val="both"/>
      </w:pPr>
      <w:r>
        <w:rPr>
          <w:rFonts w:ascii="Times New Roman" w:hAnsi="Times New Roman" w:eastAsia="仿宋_GB2312" w:cs="Times New Roman"/>
          <w:sz w:val="32"/>
          <w:color w:val="000000"/>
        </w:rPr>
        <w:t>上述目标既反映平台建设规模，也对应广泛的行业合作空间。主体接入需要持续扩大资源与能力供给，产品发布需要组织数据、知识、模型和专业成果开展标准化封装，典型场景建设需要真实客户、真实资源、实际权限和多方专业能力共同参与。平台将围绕成熟资源、明确需求和可验证场景，分批组织合作对接、产品共建、试点验证和持续运营。</w:t>
      </w:r>
    </w:p>
    <w:p>
      <w:pPr>
        <w:spacing w:line="580" w:lineRule="exact" w:before="0" w:after="0"/>
        <w:ind w:left="0" w:right="0" w:firstLine="640"/>
        <w:jc w:val="both"/>
      </w:pPr>
      <w:r>
        <w:rPr>
          <w:rFonts w:ascii="Times New Roman" w:hAnsi="Times New Roman" w:eastAsia="仿宋_GB2312" w:cs="Times New Roman"/>
          <w:sz w:val="32"/>
          <w:color w:val="000000"/>
        </w:rPr>
        <w:t>建设评价与持续运营评价实行分层管理。建设阶段重点关注主体接入、资源登记、产品发布、平台能力和示范场景进度；运营阶段重点关注真实使用、服务质量、经营效果和安全合规，推动建设成果逐步形成稳定服务能力和可持续投入机制。</w:t>
      </w:r>
    </w:p>
    <w:p>
      <w:pPr>
        <w:pStyle w:val="4"/>
        <w:keepNext/>
        <w:spacing w:line="580" w:lineRule="exact" w:before="0" w:after="0"/>
        <w:ind w:left="0" w:right="0" w:firstLine="0"/>
        <w:jc w:val="left"/>
      </w:pPr>
      <w:r>
        <w:rPr>
          <w:rFonts w:ascii="Times New Roman" w:hAnsi="Times New Roman" w:eastAsia="黑体" w:cs="Times New Roman"/>
          <w:sz w:val="32"/>
          <w:color w:val="000000"/>
        </w:rPr>
        <w:t>五、合作价值与开放原则</w:t>
      </w:r>
    </w:p>
    <w:p>
      <w:pPr>
        <w:spacing w:line="580" w:lineRule="exact" w:before="0" w:after="0"/>
        <w:ind w:left="0" w:right="0" w:firstLine="640"/>
        <w:jc w:val="both"/>
      </w:pPr>
      <w:r>
        <w:rPr>
          <w:rFonts w:ascii="Times New Roman" w:hAnsi="Times New Roman" w:eastAsia="仿宋_GB2312" w:cs="Times New Roman"/>
          <w:sz w:val="32"/>
          <w:color w:val="000000"/>
        </w:rPr>
        <w:t>平台面向不同合作主体形成差异化合作价值。对需求单位，提供统一的资源发现、服务组织、可信交付和持续运营入口，降低跨主体资源对接、技术适配和安全合规成本；对资源与能力提供方，提供产品化设计、场景化应用、客户对接、计量结算和联合推广渠道，推动既有数据、知识、模型和专业能力形成可持续服务；对技术与生态伙伴，提供行业真实场景、资源协同和联合产品机会；对行业整体，通过统一规则和持续运营机制促进数据资源与专业能力高效流通利用。</w:t>
      </w:r>
    </w:p>
    <w:p>
      <w:pPr>
        <w:spacing w:line="580" w:lineRule="exact" w:before="0" w:after="0"/>
        <w:ind w:left="0" w:right="0" w:firstLine="640"/>
        <w:jc w:val="both"/>
      </w:pPr>
      <w:r>
        <w:rPr>
          <w:rFonts w:ascii="Times New Roman" w:hAnsi="Times New Roman" w:eastAsia="仿宋_GB2312" w:cs="Times New Roman"/>
          <w:sz w:val="32"/>
          <w:color w:val="000000"/>
        </w:rPr>
        <w:t>合作坚持平等自愿、需求牵引、权利清晰、安全可控和持续运营，合作伙伴既有资源控制关系保持不变，具体事项按单项合作协商确定。</w:t>
      </w:r>
    </w:p>
    <w:p>
      <w:pPr>
        <w:pStyle w:val="3"/>
        <w:keepNext/>
        <w:pageBreakBefore/>
        <w:spacing w:line="580" w:lineRule="exact" w:before="0" w:after="0"/>
        <w:ind w:left="0" w:right="0" w:firstLine="0"/>
        <w:jc w:val="center"/>
      </w:pPr>
      <w:r>
        <w:rPr>
          <w:rFonts w:ascii="Times New Roman" w:hAnsi="Times New Roman" w:eastAsia="方正小标宋简体" w:cs="Times New Roman"/>
          <w:sz w:val="32"/>
          <w:color w:val="000000"/>
        </w:rPr>
        <w:t>第二章　平台建设与运营体系</w:t>
      </w:r>
    </w:p>
    <w:p>
      <w:pPr>
        <w:pStyle w:val="4"/>
        <w:keepNext/>
        <w:spacing w:line="580" w:lineRule="exact" w:before="0" w:after="0"/>
        <w:ind w:left="0" w:right="0" w:firstLine="0"/>
        <w:jc w:val="left"/>
      </w:pPr>
      <w:r>
        <w:rPr>
          <w:rFonts w:ascii="Times New Roman" w:hAnsi="Times New Roman" w:eastAsia="黑体" w:cs="Times New Roman"/>
          <w:sz w:val="32"/>
          <w:color w:val="000000"/>
        </w:rPr>
        <w:t>一、总体业务模式</w:t>
      </w:r>
    </w:p>
    <w:p>
      <w:pPr>
        <w:spacing w:line="580" w:lineRule="exact" w:before="0" w:after="0"/>
        <w:ind w:left="0" w:right="0" w:firstLine="640"/>
        <w:jc w:val="both"/>
      </w:pPr>
      <w:r>
        <w:rPr>
          <w:rFonts w:ascii="Times New Roman" w:hAnsi="Times New Roman" w:eastAsia="仿宋_GB2312" w:cs="Times New Roman"/>
          <w:sz w:val="32"/>
          <w:color w:val="000000"/>
        </w:rPr>
        <w:t>平台连接需求侧与供给侧，以客户业务问题和资源能力为两端输入，以数据产品、数据服务和场景服务为运营对象，以订单、合同、授权、服务权益、计量和结算为业务纽带，将分散的数据、知识、模型和专业能力转化为可订购、可交付、可计量、可评价的行业服务。</w:t>
      </w:r>
    </w:p>
    <w:p>
      <w:pPr>
        <w:spacing w:line="580" w:lineRule="exact" w:before="0" w:after="0"/>
        <w:ind w:left="0" w:right="0" w:firstLine="640"/>
        <w:jc w:val="both"/>
      </w:pPr>
      <w:r>
        <w:rPr>
          <w:rFonts w:ascii="Times New Roman" w:hAnsi="Times New Roman" w:eastAsia="仿宋_GB2312" w:cs="Times New Roman"/>
          <w:sz w:val="32"/>
          <w:color w:val="000000"/>
        </w:rPr>
        <w:t>总体业务形成“需求识别—资源组织—产品形成—客户订购—授权交付—计量结算—运营评价—持续优化”的闭环。需求侧提出业务问题、使用目的、交付成果和安全边界；供给侧提供数据、知识、模型、技术和专业服务能力；平台运营单位组织两端对接、产品化设计、可信交付、客户服务和运营评价，合作各方按照协议落实资源、质量、安全、技术和持续服务责任。</w:t>
      </w:r>
    </w:p>
    <w:p>
      <w:pPr>
        <w:spacing w:line="580" w:lineRule="exact" w:before="0" w:after="0"/>
        <w:ind w:left="0" w:right="0" w:firstLine="640"/>
        <w:jc w:val="both"/>
      </w:pPr>
      <w:r>
        <w:rPr>
          <w:rFonts w:ascii="Times New Roman" w:hAnsi="Times New Roman" w:eastAsia="仿宋_GB2312" w:cs="Times New Roman"/>
          <w:sz w:val="32"/>
          <w:color w:val="000000"/>
        </w:rPr>
        <w:t>平台重点解决三类问题：一是把分散资源转化为标准化服务供给，二是把商务合同和数据授权转化为可执行的技术规则，三是把实际调用、成果交付、客户反馈和经营结果转化为持续优化依据，从而形成产品形成、订单履行和运营反馈相互衔接的服务运营体系。</w:t>
      </w:r>
    </w:p>
    <w:p>
      <w:pPr>
        <w:pStyle w:val="4"/>
        <w:keepNext/>
        <w:spacing w:line="580" w:lineRule="exact" w:before="0" w:after="0"/>
        <w:ind w:left="0" w:right="0" w:firstLine="0"/>
        <w:jc w:val="left"/>
      </w:pPr>
      <w:r>
        <w:rPr>
          <w:rFonts w:ascii="Times New Roman" w:hAnsi="Times New Roman" w:eastAsia="黑体" w:cs="Times New Roman"/>
          <w:sz w:val="32"/>
          <w:color w:val="000000"/>
        </w:rPr>
        <w:t>二、参与主体与业务关系</w:t>
      </w:r>
    </w:p>
    <w:p>
      <w:pPr>
        <w:spacing w:line="580" w:lineRule="exact" w:before="0" w:after="0"/>
        <w:ind w:left="0" w:right="0" w:firstLine="640"/>
        <w:jc w:val="both"/>
      </w:pPr>
      <w:r>
        <w:rPr>
          <w:rFonts w:ascii="Times New Roman" w:hAnsi="Times New Roman" w:eastAsia="仿宋_GB2312" w:cs="Times New Roman"/>
          <w:sz w:val="32"/>
          <w:color w:val="000000"/>
        </w:rPr>
        <w:t>平台按照中电联统筹、中电联数智公司运营、合作伙伴供给、需求单位使用反馈的机制协同运行，并根据具体合作事项吸纳技术实施、市场渠道和生态组织参与。各主体职责相互衔接，共同形成从资源组织到客户服务的完整业务关系。</w:t>
      </w:r>
    </w:p>
    <w:p>
      <w:pPr>
        <w:pStyle w:val="176"/>
        <w:spacing w:line="580" w:lineRule="exact" w:before="0" w:after="0"/>
        <w:ind w:left="0" w:right="0" w:firstLine="640"/>
        <w:jc w:val="both"/>
      </w:pPr>
      <w:r>
        <w:rPr>
          <w:rFonts w:ascii="Times New Roman" w:hAnsi="Times New Roman" w:eastAsia="仿宋_GB2312" w:cs="Times New Roman"/>
          <w:sz w:val="32"/>
          <w:color w:val="000000"/>
        </w:rPr>
        <w:t>一是中电联。负责重大事项统筹、规则审定、行业资源协调、专业力量组织和成果推广，发挥行业组织、专业资源和会员生态优势，为重点产品和场景形成行业协同条件。</w:t>
      </w:r>
    </w:p>
    <w:p>
      <w:pPr>
        <w:pStyle w:val="176"/>
        <w:spacing w:line="580" w:lineRule="exact" w:before="0" w:after="0"/>
        <w:ind w:left="0" w:right="0" w:firstLine="640"/>
        <w:jc w:val="both"/>
      </w:pPr>
      <w:r>
        <w:rPr>
          <w:rFonts w:ascii="Times New Roman" w:hAnsi="Times New Roman" w:eastAsia="仿宋_GB2312" w:cs="Times New Roman"/>
          <w:sz w:val="32"/>
          <w:color w:val="000000"/>
        </w:rPr>
        <w:t>二是中电联数智公司。代表中电联承担平台运营、产品组织、客户服务、技术协同、可信交付、运营评价和计量结算，建立统一的合作对接、产品管理和客户服务机制。</w:t>
      </w:r>
    </w:p>
    <w:p>
      <w:pPr>
        <w:pStyle w:val="176"/>
        <w:spacing w:line="580" w:lineRule="exact" w:before="0" w:after="0"/>
        <w:ind w:left="0" w:right="0" w:firstLine="640"/>
        <w:jc w:val="both"/>
      </w:pPr>
      <w:r>
        <w:rPr>
          <w:rFonts w:ascii="Times New Roman" w:hAnsi="Times New Roman" w:eastAsia="仿宋_GB2312" w:cs="Times New Roman"/>
          <w:sz w:val="32"/>
          <w:color w:val="000000"/>
        </w:rPr>
        <w:t>三是需求与场景单位。包括政府部门、电力企业、能源企业、科研院所、高等院校及跨行业主体等，提出业务问题、使用目的、交付成果和安全要求，参与试用、验收和应用反馈。</w:t>
      </w:r>
    </w:p>
    <w:p>
      <w:pPr>
        <w:pStyle w:val="176"/>
        <w:spacing w:line="580" w:lineRule="exact" w:before="0" w:after="0"/>
        <w:ind w:left="0" w:right="0" w:firstLine="640"/>
        <w:jc w:val="both"/>
      </w:pPr>
      <w:r>
        <w:rPr>
          <w:rFonts w:ascii="Times New Roman" w:hAnsi="Times New Roman" w:eastAsia="仿宋_GB2312" w:cs="Times New Roman"/>
          <w:sz w:val="32"/>
          <w:color w:val="000000"/>
        </w:rPr>
        <w:t>四是资源与能力合作伙伴。根据合作事项提供数据、知识、模型、算法、专业服务、技术能力和持续更新保障，承担相应的资源权利、质量、版本、安全和服务责任。</w:t>
      </w:r>
    </w:p>
    <w:p>
      <w:pPr>
        <w:pStyle w:val="176"/>
        <w:spacing w:line="580" w:lineRule="exact" w:before="0" w:after="0"/>
        <w:ind w:left="0" w:right="0" w:firstLine="640"/>
        <w:jc w:val="both"/>
      </w:pPr>
      <w:r>
        <w:rPr>
          <w:rFonts w:ascii="Times New Roman" w:hAnsi="Times New Roman" w:eastAsia="仿宋_GB2312" w:cs="Times New Roman"/>
          <w:sz w:val="32"/>
          <w:color w:val="000000"/>
        </w:rPr>
        <w:t>五是市场与生态合作伙伴。根据实际合作需要参与客户渠道、场景组织、联合推广、实施服务和生态协同，与平台及相关合作方共同拓展行业应用。</w:t>
      </w:r>
    </w:p>
    <w:p>
      <w:pPr>
        <w:spacing w:line="580" w:lineRule="exact" w:before="0" w:after="0"/>
        <w:ind w:left="0" w:right="0" w:firstLine="640"/>
        <w:jc w:val="both"/>
      </w:pPr>
      <w:r>
        <w:rPr>
          <w:rFonts w:ascii="Times New Roman" w:hAnsi="Times New Roman" w:eastAsia="仿宋_GB2312" w:cs="Times New Roman"/>
          <w:sz w:val="32"/>
          <w:color w:val="000000"/>
        </w:rPr>
        <w:t>合作主体按照参与角色进行识别，同一单位可以根据实际条件承担一种或者多种角色。平台通过统一标识、合作事项、产品、订单、授权、交付和计量记录建立业务关联，实现各方责任、技术执行和商务结算相互衔接。</w:t>
      </w:r>
    </w:p>
    <w:p>
      <w:pPr>
        <w:pStyle w:val="4"/>
        <w:keepNext/>
        <w:spacing w:line="580" w:lineRule="exact" w:before="0" w:after="0"/>
        <w:ind w:left="0" w:right="0" w:firstLine="0"/>
        <w:jc w:val="left"/>
      </w:pPr>
      <w:r>
        <w:rPr>
          <w:rFonts w:ascii="Times New Roman" w:hAnsi="Times New Roman" w:eastAsia="黑体" w:cs="Times New Roman"/>
          <w:sz w:val="32"/>
          <w:color w:val="000000"/>
        </w:rPr>
        <w:t>三、总体架构</w:t>
      </w:r>
    </w:p>
    <w:p>
      <w:pPr>
        <w:spacing w:line="580" w:lineRule="exact" w:before="0" w:after="0"/>
        <w:ind w:left="0" w:right="0" w:firstLine="640"/>
        <w:jc w:val="both"/>
      </w:pPr>
      <w:r>
        <w:rPr>
          <w:rFonts w:ascii="Times New Roman" w:hAnsi="Times New Roman" w:eastAsia="仿宋_GB2312" w:cs="Times New Roman"/>
          <w:sz w:val="32"/>
          <w:color w:val="000000"/>
        </w:rPr>
        <w:t>平台按照“五层两贯穿”总体架构建设，并遵循统一控制、分布执行、按需汇聚、数据留域的原则。五层能力构成平台核心业务与技术支撑，两项贯穿保障覆盖平台运行全过程。</w:t>
      </w:r>
    </w:p>
    <w:p>
      <w:pPr>
        <w:pStyle w:val="176"/>
        <w:spacing w:line="580" w:lineRule="exact" w:before="0" w:after="0"/>
        <w:ind w:left="0" w:right="0" w:firstLine="640"/>
        <w:jc w:val="both"/>
      </w:pPr>
      <w:r>
        <w:rPr>
          <w:rFonts w:ascii="Times New Roman" w:hAnsi="Times New Roman" w:eastAsia="仿宋_GB2312" w:cs="Times New Roman"/>
          <w:sz w:val="32"/>
          <w:color w:val="000000"/>
        </w:rPr>
        <w:t>一是可信连接与主体接入层。面向机构、人员、应用、连接器、数据源、模型节点和服务节点建立可信身份，支持数据库、接口、文件、消息流和模型服务等多种接入方式，提供身份认证、连接器注册、接口适配、证书密钥、运行监测和日志采集等能力。</w:t>
      </w:r>
    </w:p>
    <w:p>
      <w:pPr>
        <w:pStyle w:val="176"/>
        <w:spacing w:line="580" w:lineRule="exact" w:before="0" w:after="0"/>
        <w:ind w:left="0" w:right="0" w:firstLine="640"/>
        <w:jc w:val="both"/>
      </w:pPr>
      <w:r>
        <w:rPr>
          <w:rFonts w:ascii="Times New Roman" w:hAnsi="Times New Roman" w:eastAsia="仿宋_GB2312" w:cs="Times New Roman"/>
          <w:sz w:val="32"/>
          <w:color w:val="000000"/>
        </w:rPr>
        <w:t>二是资源与产品管理层。对数据、知识、文档、模型、算法和专业能力进行登记、编目、质量管理、血缘管理、版本管理和产品封装，建设统一目录、元数据、质量管理、产品开发、模型和知识资源管理等能力。</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三是服务交付与场景编排层。支撑接口调用、成果交付、模型任务、数据沙箱、隐私保护计算、场景流程和多方协同交付，按照客户订单、授权规则和服务权益提供稳定、受控、可审计的服务。</w:t>
      </w:r>
    </w:p>
    <w:p>
      <w:pPr>
        <w:pStyle w:val="176"/>
        <w:spacing w:line="580" w:lineRule="exact" w:before="0" w:after="0"/>
        <w:ind w:left="0" w:right="0" w:firstLine="640"/>
        <w:jc w:val="both"/>
      </w:pPr>
      <w:r>
        <w:rPr>
          <w:rFonts w:ascii="Times New Roman" w:hAnsi="Times New Roman" w:eastAsia="仿宋_GB2312" w:cs="Times New Roman"/>
          <w:sz w:val="32"/>
          <w:color w:val="000000"/>
        </w:rPr>
        <w:t>四是运营与交易管理层。对客户、产品规格、订单、合同、授权、服务权益、计量、账单、对账、结算、客户服务和运营分析实行统一管理，支撑产品发布、客户订购、订单履行、合作伙伴结算和续约推广。</w:t>
      </w:r>
    </w:p>
    <w:p>
      <w:pPr>
        <w:pStyle w:val="176"/>
        <w:spacing w:line="580" w:lineRule="exact" w:before="0" w:after="0"/>
        <w:ind w:left="0" w:right="0" w:firstLine="640"/>
        <w:jc w:val="both"/>
      </w:pPr>
      <w:r>
        <w:rPr>
          <w:rFonts w:ascii="Times New Roman" w:hAnsi="Times New Roman" w:eastAsia="仿宋_GB2312" w:cs="Times New Roman"/>
          <w:sz w:val="32"/>
          <w:color w:val="000000"/>
        </w:rPr>
        <w:t>五是数据与人工智能基础层。承载经合法授权进入平台环境的数据和模型，提供数据治理、存储计算、知识库、向量检索、模型服务、任务编排、模型评测和算力资源管理等公共能力；对不宜集中汇聚的资源，通过源端节点和受控计算环境提供协同处理能力。</w:t>
      </w:r>
    </w:p>
    <w:p>
      <w:pPr>
        <w:pStyle w:val="176"/>
        <w:spacing w:line="580" w:lineRule="exact" w:before="0" w:after="0"/>
        <w:ind w:left="0" w:right="0" w:firstLine="640"/>
        <w:jc w:val="both"/>
      </w:pPr>
      <w:r>
        <w:rPr>
          <w:rFonts w:ascii="Times New Roman" w:hAnsi="Times New Roman" w:eastAsia="仿宋_GB2312" w:cs="Times New Roman"/>
          <w:sz w:val="32"/>
          <w:color w:val="000000"/>
        </w:rPr>
        <w:t>安全与合规贯穿主体接入、资源登记、产品开发、服务调用、成果交付、计量结算和退出管理全过程；标准与运维贯穿目录标识、接口、质量、服务等级、计量、审计、配置、版本、监控、容灾和故障处置全过程。</w:t>
      </w:r>
    </w:p>
    <w:p>
      <w:pPr>
        <w:pStyle w:val="4"/>
        <w:keepNext/>
        <w:spacing w:line="580" w:lineRule="exact" w:before="0" w:after="0"/>
        <w:ind w:left="0" w:right="0" w:firstLine="0"/>
        <w:jc w:val="left"/>
      </w:pPr>
      <w:r>
        <w:rPr>
          <w:rFonts w:ascii="Times New Roman" w:hAnsi="Times New Roman" w:eastAsia="黑体" w:cs="Times New Roman"/>
          <w:sz w:val="32"/>
          <w:color w:val="000000"/>
        </w:rPr>
        <w:t>四、资源与产品形成机制</w:t>
      </w:r>
    </w:p>
    <w:p>
      <w:pPr>
        <w:spacing w:line="580" w:lineRule="exact" w:before="0" w:after="0"/>
        <w:ind w:left="0" w:right="0" w:firstLine="640"/>
        <w:jc w:val="both"/>
      </w:pPr>
      <w:r>
        <w:rPr>
          <w:rFonts w:ascii="Times New Roman" w:hAnsi="Times New Roman" w:eastAsia="仿宋_GB2312" w:cs="Times New Roman"/>
          <w:sz w:val="32"/>
          <w:color w:val="000000"/>
        </w:rPr>
        <w:t>平台业务对象分为资源能力、产品服务、应用场景和交付运行四个维度。资源能力构成供给基础，产品服务构成运营载体，应用场景对应业务领域，交付运行明确服务实现方式。</w:t>
      </w:r>
    </w:p>
    <w:p>
      <w:pPr>
        <w:pStyle w:val="176"/>
        <w:spacing w:line="580" w:lineRule="exact" w:before="0" w:after="0"/>
        <w:ind w:left="0" w:right="0" w:firstLine="640"/>
        <w:jc w:val="both"/>
      </w:pPr>
      <w:r>
        <w:rPr>
          <w:rFonts w:ascii="Times New Roman" w:hAnsi="Times New Roman" w:eastAsia="仿宋_GB2312" w:cs="Times New Roman"/>
          <w:sz w:val="32"/>
          <w:color w:val="000000"/>
        </w:rPr>
        <w:t>一是资源能力。包括数据资源、知识资源、模型算法、专业能力和技术能力。数据资源包括数据集、指标、样本及相关数据成果；知识资源包括政策标准、技术资料、专业文档和知识库；模型算法包括模型、算法、智能体和相关工具；专业能力包括研究分析、评价认证、咨询实施、专家服务和行业经验；技术能力包括可信连接、数据治理、隐私保护计算、安全审计、系统集成、算力和运维等。</w:t>
      </w:r>
    </w:p>
    <w:p>
      <w:pPr>
        <w:pStyle w:val="176"/>
        <w:spacing w:line="580" w:lineRule="exact" w:before="0" w:after="0"/>
        <w:ind w:left="0" w:right="0" w:firstLine="640"/>
        <w:jc w:val="both"/>
      </w:pPr>
      <w:r>
        <w:rPr>
          <w:rFonts w:ascii="Times New Roman" w:hAnsi="Times New Roman" w:eastAsia="仿宋_GB2312" w:cs="Times New Roman"/>
          <w:sz w:val="32"/>
          <w:color w:val="000000"/>
        </w:rPr>
        <w:t>二是数据产品。经过权利确认、治理加工、质量检验、标准封装和版本管理，可以独立登记和管理的数据成果，重点明确资源来源、数据口径、质量等级、版本更新、使用边界和交付方式。</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数据服务。基于数据产品、知识资源、模型能力或者专业能力形成的可订购、可调用、可计量的标准化专业服务，重点明确目标客户、服务内容、交付成果、服务等级、服务期限、计量单位、价格规则和客户支持。</w:t>
      </w:r>
    </w:p>
    <w:p>
      <w:pPr>
        <w:pStyle w:val="176"/>
        <w:spacing w:line="580" w:lineRule="exact" w:before="0" w:after="0"/>
        <w:ind w:left="0" w:right="0" w:firstLine="640"/>
        <w:jc w:val="both"/>
      </w:pPr>
      <w:r>
        <w:rPr>
          <w:rFonts w:ascii="Times New Roman" w:hAnsi="Times New Roman" w:eastAsia="仿宋_GB2312" w:cs="Times New Roman"/>
          <w:sz w:val="32"/>
          <w:color w:val="000000"/>
        </w:rPr>
        <w:t>四是场景服务。面向客户具体业务问题，对数据产品、模型算法、专家能力、技术实施和安全措施进行组合形成的综合服务，重点明确业务目标、需求单位、资源清单、实施内容、交付成果、验收要求、运营期责任和复制推广条件。</w:t>
      </w:r>
    </w:p>
    <w:p>
      <w:pPr>
        <w:spacing w:line="580" w:lineRule="exact" w:before="0" w:after="0"/>
        <w:ind w:left="0" w:right="0" w:firstLine="640"/>
        <w:jc w:val="both"/>
      </w:pPr>
      <w:r>
        <w:rPr>
          <w:rFonts w:ascii="Times New Roman" w:hAnsi="Times New Roman" w:eastAsia="仿宋_GB2312" w:cs="Times New Roman"/>
          <w:sz w:val="32"/>
          <w:color w:val="000000"/>
        </w:rPr>
        <w:t>产品和场景主要通过两条路径形成。标准产品路径从资源与能力出发，经过治理封装、产品规格设计和客户验证形成数据产品及数据服务；场景组织路径从客户业务问题出发，先明确业务目标和交付成果，再反向组织所需数据、模型、专家和技术能力，形成场景服务。两条路径进入正式运营前统一完成权利、质量、安全、技术和商务审核。</w:t>
      </w:r>
    </w:p>
    <w:p>
      <w:pPr>
        <w:pStyle w:val="4"/>
        <w:keepNext/>
        <w:spacing w:line="580" w:lineRule="exact" w:before="0" w:after="0"/>
        <w:ind w:left="0" w:right="0" w:firstLine="0"/>
        <w:jc w:val="left"/>
      </w:pPr>
      <w:r>
        <w:rPr>
          <w:rFonts w:ascii="Times New Roman" w:hAnsi="Times New Roman" w:eastAsia="黑体" w:cs="Times New Roman"/>
          <w:sz w:val="32"/>
          <w:color w:val="000000"/>
        </w:rPr>
        <w:t>五、服务运营闭环</w:t>
      </w:r>
    </w:p>
    <w:p>
      <w:pPr>
        <w:spacing w:line="580" w:lineRule="exact" w:before="0" w:after="0"/>
        <w:ind w:left="0" w:right="0" w:firstLine="640"/>
        <w:jc w:val="both"/>
      </w:pPr>
      <w:r>
        <w:rPr>
          <w:rFonts w:ascii="Times New Roman" w:hAnsi="Times New Roman" w:eastAsia="仿宋_GB2312" w:cs="Times New Roman"/>
          <w:sz w:val="32"/>
          <w:color w:val="000000"/>
        </w:rPr>
        <w:t>平台以产品形成、订单履行和运营反馈三条业务链构成持续运营闭环。产品形成阶段通过需求征集、资源登记、样例验证和审核准入形成可运营对象；订单履行阶段将客户购买内容转化为合同、授权和服务权益，并由技术系统执行；运营反馈阶段依据实际调用、交付质量、客户反馈、成本回款和合作履约情况开展优化、续约、调整或者退出。</w:t>
      </w:r>
    </w:p>
    <w:p>
      <w:pPr>
        <w:spacing w:line="580" w:lineRule="exact" w:before="0" w:after="0"/>
        <w:ind w:left="0" w:right="0" w:firstLine="640"/>
        <w:jc w:val="both"/>
      </w:pPr>
      <w:r>
        <w:rPr>
          <w:rFonts w:ascii="Times New Roman" w:hAnsi="Times New Roman" w:eastAsia="仿宋_GB2312" w:cs="Times New Roman"/>
          <w:sz w:val="32"/>
          <w:color w:val="000000"/>
        </w:rPr>
        <w:t>产品和场景实行阶段化管理。产品原则上按照需求立项、样例验证、开发准入、客户试用、正式运营、优化或退出推进；场景原则上按照业务问题确认、方案设计、联合实施准备、真实客户试点、业务和技术验收、持续运营和标准化复制推进。各阶段明确进入条件、阶段成果和继续投入决策。</w:t>
      </w:r>
    </w:p>
    <w:p>
      <w:pPr>
        <w:spacing w:line="580" w:lineRule="exact" w:before="0" w:after="0"/>
        <w:ind w:left="0" w:right="0" w:firstLine="640"/>
        <w:jc w:val="both"/>
      </w:pPr>
      <w:r>
        <w:rPr>
          <w:rFonts w:ascii="Times New Roman" w:hAnsi="Times New Roman" w:eastAsia="仿宋_GB2312" w:cs="Times New Roman"/>
          <w:sz w:val="32"/>
          <w:color w:val="000000"/>
        </w:rPr>
        <w:t>平台对客户、合作伙伴、资源与能力、产品、产品规格、订单、合同、授权、服务权益、交付记录、计量结果、账单和结算信息等核心业务对象实行统一标识和关联管理，使业务运行、技术调用、财务结算和安全审计相互衔接、全程追溯。</w:t>
      </w:r>
    </w:p>
    <w:p>
      <w:pPr>
        <w:pStyle w:val="3"/>
        <w:keepNext/>
        <w:pageBreakBefore/>
        <w:spacing w:line="580" w:lineRule="exact" w:before="0" w:after="0"/>
        <w:ind w:left="0" w:right="0" w:firstLine="0"/>
        <w:jc w:val="center"/>
      </w:pPr>
      <w:r>
        <w:rPr>
          <w:rFonts w:ascii="Times New Roman" w:hAnsi="Times New Roman" w:eastAsia="方正小标宋简体" w:cs="Times New Roman"/>
          <w:sz w:val="32"/>
          <w:color w:val="000000"/>
        </w:rPr>
        <w:t>第三章　重点服务与合作机会</w:t>
      </w:r>
    </w:p>
    <w:p>
      <w:pPr>
        <w:pStyle w:val="4"/>
        <w:keepNext/>
        <w:spacing w:line="580" w:lineRule="exact" w:before="0" w:after="0"/>
        <w:ind w:left="0" w:right="0" w:firstLine="0"/>
        <w:jc w:val="left"/>
      </w:pPr>
      <w:r>
        <w:rPr>
          <w:rFonts w:ascii="Times New Roman" w:hAnsi="Times New Roman" w:eastAsia="黑体" w:cs="Times New Roman"/>
          <w:sz w:val="32"/>
          <w:color w:val="000000"/>
        </w:rPr>
        <w:t>一、总体服务体系</w:t>
      </w:r>
    </w:p>
    <w:p>
      <w:pPr>
        <w:spacing w:line="580" w:lineRule="exact" w:before="0" w:after="0"/>
        <w:ind w:left="0" w:right="0" w:firstLine="640"/>
        <w:jc w:val="both"/>
      </w:pPr>
      <w:r>
        <w:rPr>
          <w:rFonts w:ascii="Times New Roman" w:hAnsi="Times New Roman" w:eastAsia="仿宋_GB2312" w:cs="Times New Roman"/>
          <w:sz w:val="32"/>
          <w:color w:val="000000"/>
        </w:rPr>
        <w:t>平台面向政府治理、行业发展和企业生产经营需求，将数据、知识、模型和专业能力组织为可订购、可调用、可计量的标准化专业服务。根据服务内容，重点形成五类基础服务能力。</w:t>
      </w:r>
    </w:p>
    <w:p>
      <w:pPr>
        <w:pStyle w:val="176"/>
        <w:spacing w:line="580" w:lineRule="exact" w:before="0" w:after="0"/>
        <w:ind w:left="0" w:right="0" w:firstLine="640"/>
        <w:jc w:val="both"/>
      </w:pPr>
      <w:r>
        <w:rPr>
          <w:rFonts w:ascii="Times New Roman" w:hAnsi="Times New Roman" w:eastAsia="仿宋_GB2312" w:cs="Times New Roman"/>
          <w:sz w:val="32"/>
          <w:color w:val="000000"/>
        </w:rPr>
        <w:t>一是数据获取服务。包括基础查询、专业指标、数据接口和数据集，满足信息核验、研究分析、业务系统调用、模型训练和专题应用等需求。</w:t>
      </w:r>
    </w:p>
    <w:p>
      <w:pPr>
        <w:pStyle w:val="176"/>
        <w:spacing w:line="580" w:lineRule="exact" w:before="0" w:after="0"/>
        <w:ind w:left="0" w:right="0" w:firstLine="640"/>
        <w:jc w:val="both"/>
      </w:pPr>
      <w:r>
        <w:rPr>
          <w:rFonts w:ascii="Times New Roman" w:hAnsi="Times New Roman" w:eastAsia="仿宋_GB2312" w:cs="Times New Roman"/>
          <w:sz w:val="32"/>
          <w:color w:val="000000"/>
        </w:rPr>
        <w:t>二是知识内容服务。包括政策标准、技术资料、专业文档、行业知识库和结构化知识成果，为政策研究、业务查询、专业培训和智能问答提供内容支撑。</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三是模型与智能服务。包括预测、诊断、评价、优化、分类识别、智能检索、智能问答和报告生成等能力，可以通过在线调用、批量任务、专属实例或者客户环境部署等方式提供。</w:t>
      </w:r>
    </w:p>
    <w:p>
      <w:pPr>
        <w:pStyle w:val="176"/>
        <w:spacing w:line="580" w:lineRule="exact" w:before="0" w:after="0"/>
        <w:ind w:left="0" w:right="0" w:firstLine="640"/>
        <w:jc w:val="both"/>
      </w:pPr>
      <w:r>
        <w:rPr>
          <w:rFonts w:ascii="Times New Roman" w:hAnsi="Times New Roman" w:eastAsia="仿宋_GB2312" w:cs="Times New Roman"/>
          <w:sz w:val="32"/>
          <w:color w:val="000000"/>
        </w:rPr>
        <w:t>四是分析监测服务。包括动态分析、专题研判、周期报告、趋势监测、异常预警、经营对标和辅助决策，按照约定对象、指标、频次和服务周期持续提供成果。</w:t>
      </w:r>
    </w:p>
    <w:p>
      <w:pPr>
        <w:pStyle w:val="176"/>
        <w:spacing w:line="580" w:lineRule="exact" w:before="0" w:after="0"/>
        <w:ind w:left="0" w:right="0" w:firstLine="640"/>
        <w:jc w:val="both"/>
      </w:pPr>
      <w:r>
        <w:rPr>
          <w:rFonts w:ascii="Times New Roman" w:hAnsi="Times New Roman" w:eastAsia="仿宋_GB2312" w:cs="Times New Roman"/>
          <w:sz w:val="32"/>
          <w:color w:val="000000"/>
        </w:rPr>
        <w:t>五是数据治理与核验服务。包括数据清洗、标准映射、标签标注、质量评价、数据核验、可信证明、数据集加工和样本构建，帮助客户提升数据可用性和服务可信度。</w:t>
      </w:r>
    </w:p>
    <w:p>
      <w:pPr>
        <w:spacing w:line="580" w:lineRule="exact" w:before="0" w:after="0"/>
        <w:ind w:left="0" w:right="0" w:firstLine="640"/>
        <w:jc w:val="both"/>
      </w:pPr>
      <w:r>
        <w:rPr>
          <w:rFonts w:ascii="Times New Roman" w:hAnsi="Times New Roman" w:eastAsia="仿宋_GB2312" w:cs="Times New Roman"/>
          <w:sz w:val="32"/>
          <w:color w:val="000000"/>
        </w:rPr>
        <w:t>合作伙伴可以结合自身资源和能力提供专业数据、行业知识、指标体系、分析成果、高质量数据集、模型算法或者持续监测能力。平台结合资源成熟度、权利条件、客户需求和服务成本，共同形成标准产品规格并开展协同运营。</w:t>
      </w:r>
    </w:p>
    <w:p>
      <w:pPr>
        <w:pStyle w:val="4"/>
        <w:keepNext/>
        <w:spacing w:line="580" w:lineRule="exact" w:before="0" w:after="0"/>
        <w:ind w:left="0" w:right="0" w:firstLine="0"/>
        <w:jc w:val="left"/>
      </w:pPr>
      <w:r>
        <w:rPr>
          <w:rFonts w:ascii="Times New Roman" w:hAnsi="Times New Roman" w:eastAsia="黑体" w:cs="Times New Roman"/>
          <w:sz w:val="32"/>
          <w:color w:val="000000"/>
        </w:rPr>
        <w:t>二、场景服务体系</w:t>
      </w:r>
    </w:p>
    <w:p>
      <w:pPr>
        <w:spacing w:line="580" w:lineRule="exact" w:before="0" w:after="0"/>
        <w:ind w:left="0" w:right="0" w:firstLine="640"/>
        <w:jc w:val="both"/>
      </w:pPr>
      <w:r>
        <w:rPr>
          <w:rFonts w:ascii="Times New Roman" w:hAnsi="Times New Roman" w:eastAsia="仿宋_GB2312" w:cs="Times New Roman"/>
          <w:sz w:val="32"/>
          <w:color w:val="000000"/>
        </w:rPr>
        <w:t>场景服务以客户业务问题为起点，综合运用数据、知识、模型、算法、专家和技术实施能力，形成覆盖需求分析、方案设计、系统接入、试点运行、持续服务和成效评价的综合交付。根据成熟度和复制程度，场景服务形成标准型、配置型和定制型三种形态。</w:t>
      </w:r>
    </w:p>
    <w:p>
      <w:pPr>
        <w:pStyle w:val="176"/>
        <w:spacing w:line="580" w:lineRule="exact" w:before="0" w:after="0"/>
        <w:ind w:left="0" w:right="0" w:firstLine="640"/>
        <w:jc w:val="both"/>
      </w:pPr>
      <w:r>
        <w:rPr>
          <w:rFonts w:ascii="Times New Roman" w:hAnsi="Times New Roman" w:eastAsia="仿宋_GB2312" w:cs="Times New Roman"/>
          <w:sz w:val="32"/>
          <w:color w:val="000000"/>
        </w:rPr>
        <w:t>一是标准型场景服务。业务对象、服务流程、数据要求、交付成果、服务等级和价格规则基本固定，可以按照统一服务说明快速复制，适用于行业知识检索、企业信息核验、设备可靠性分析、电碳因子查询和周期性行业监测等成熟服务。</w:t>
      </w:r>
    </w:p>
    <w:p>
      <w:pPr>
        <w:pStyle w:val="176"/>
        <w:spacing w:line="580" w:lineRule="exact" w:before="0" w:after="0"/>
        <w:ind w:left="0" w:right="0" w:firstLine="640"/>
        <w:jc w:val="both"/>
      </w:pPr>
      <w:r>
        <w:rPr>
          <w:rFonts w:ascii="Times New Roman" w:hAnsi="Times New Roman" w:eastAsia="仿宋_GB2312" w:cs="Times New Roman"/>
          <w:sz w:val="32"/>
          <w:color w:val="000000"/>
        </w:rPr>
        <w:t>二是配置型场景服务。核心能力和业务流程已经标准化，可以根据客户区域、组织、设备、指标、频率和权限等参数灵活配置，兼顾共性能力复用和客户实际条件。</w:t>
      </w:r>
    </w:p>
    <w:p>
      <w:pPr>
        <w:pStyle w:val="176"/>
        <w:spacing w:line="580" w:lineRule="exact" w:before="0" w:after="0"/>
        <w:ind w:left="0" w:right="0" w:firstLine="640"/>
        <w:jc w:val="both"/>
      </w:pPr>
      <w:r>
        <w:rPr>
          <w:rFonts w:ascii="Times New Roman" w:hAnsi="Times New Roman" w:eastAsia="仿宋_GB2312" w:cs="Times New Roman"/>
          <w:sz w:val="32"/>
          <w:color w:val="000000"/>
        </w:rPr>
        <w:t>三是定制型场景服务。面向重大客户和复杂业务问题进行专项设计，根据需要开展数据治理、模型开发、业务设计和系统集成，并在实施过程中同步沉淀可复用的数据产品、模型组件、接口、业务规则和实施清单。</w:t>
      </w:r>
    </w:p>
    <w:p>
      <w:pPr>
        <w:spacing w:line="580" w:lineRule="exact" w:before="0" w:after="0"/>
        <w:ind w:left="0" w:right="0" w:firstLine="640"/>
        <w:jc w:val="both"/>
      </w:pPr>
      <w:r>
        <w:rPr>
          <w:rFonts w:ascii="Times New Roman" w:hAnsi="Times New Roman" w:eastAsia="仿宋_GB2312" w:cs="Times New Roman"/>
          <w:sz w:val="32"/>
          <w:color w:val="000000"/>
        </w:rPr>
        <w:t>场景服务按照“定制验证—配置沉淀—标准复制”的方向逐步提升复用程度。定制型场景形成稳定逻辑、可复用组件、可配置参数和统一验收规则后，可以转化为配置型场景；配置型场景经过多个客户验证并形成统一产品规格后，可以进一步沉淀为标准场景服务包。</w:t>
      </w:r>
    </w:p>
    <w:p>
      <w:pPr>
        <w:pStyle w:val="4"/>
        <w:keepNext/>
        <w:spacing w:line="580" w:lineRule="exact" w:before="0" w:after="0"/>
        <w:ind w:left="0" w:right="0" w:firstLine="0"/>
        <w:jc w:val="left"/>
      </w:pPr>
      <w:r>
        <w:rPr>
          <w:rFonts w:ascii="Times New Roman" w:hAnsi="Times New Roman" w:eastAsia="黑体" w:cs="Times New Roman"/>
          <w:sz w:val="32"/>
          <w:color w:val="000000"/>
        </w:rPr>
        <w:t>三、重点合作方向</w:t>
      </w:r>
    </w:p>
    <w:p>
      <w:pPr>
        <w:spacing w:line="580" w:lineRule="exact" w:before="0" w:after="0"/>
        <w:ind w:left="0" w:right="0" w:firstLine="640"/>
        <w:jc w:val="both"/>
      </w:pPr>
      <w:r>
        <w:rPr>
          <w:rFonts w:ascii="Times New Roman" w:hAnsi="Times New Roman" w:eastAsia="仿宋_GB2312" w:cs="Times New Roman"/>
          <w:sz w:val="32"/>
          <w:color w:val="000000"/>
        </w:rPr>
        <w:t>平台根据国家和行业需求、中电联资源基础、合作伙伴能力、客户采购条件和持续运营可行性，优先选择真实需求明确、资源权利清晰、交付成果可验证、商务价格可执行、持续服务具备条件的方向，先形成样例、试点和首批客户，再逐步纳入正式运营。首期重点围绕以下六个方向组织合作。</w:t>
      </w:r>
    </w:p>
    <w:p>
      <w:pPr>
        <w:pStyle w:val="OpportunityTitle"/>
        <w:keepNext/>
        <w:spacing w:line="580" w:lineRule="exact" w:before="0" w:after="0"/>
        <w:ind w:left="0" w:right="0" w:firstLine="0"/>
        <w:jc w:val="left"/>
      </w:pPr>
      <w:r>
        <w:rPr>
          <w:rFonts w:ascii="Times New Roman" w:hAnsi="Times New Roman" w:eastAsia="楷体_GB2312" w:cs="Times New Roman"/>
          <w:sz w:val="32"/>
          <w:color w:val="000000"/>
        </w:rPr>
        <w:t>（一）设备可靠性与生产运行服务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行业需求：</w:t>
      </w:r>
      <w:r>
        <w:rPr>
          <w:rFonts w:ascii="Times New Roman" w:hAnsi="Times New Roman" w:eastAsia="仿宋_GB2312" w:cs="Times New Roman"/>
          <w:sz w:val="32"/>
          <w:color w:val="000000"/>
        </w:rPr>
        <w:t>设备选型、运行评价、故障预警、检修辅助和质量改进等业务，需要设备运行数据、可靠性规则、诊断模型和专家能力协同支撑，并需要在资源权利、安全边界和服务质量可控的条件下开展持续应用。</w:t>
      </w:r>
    </w:p>
    <w:p>
      <w:pPr>
        <w:pStyle w:val="LeadBody"/>
        <w:spacing w:line="580" w:lineRule="exact" w:before="0" w:after="0"/>
        <w:ind w:left="0" w:right="0" w:firstLine="0"/>
        <w:jc w:val="both"/>
      </w:pPr>
      <w:r>
        <w:rPr>
          <w:rFonts w:ascii="Times New Roman" w:hAnsi="Times New Roman" w:eastAsia="仿宋_GB2312" w:cs="Times New Roman"/>
          <w:b/>
          <w:sz w:val="32"/>
          <w:color w:val="000000"/>
        </w:rPr>
        <w:t>现有基础：</w:t>
      </w:r>
      <w:r>
        <w:rPr>
          <w:rFonts w:ascii="Times New Roman" w:hAnsi="Times New Roman" w:eastAsia="仿宋_GB2312" w:cs="Times New Roman"/>
          <w:sz w:val="32"/>
          <w:color w:val="000000"/>
        </w:rPr>
        <w:t>中电联在设备可靠性、行业统计、专业研究和会员服务等方面形成长期积累，相关业务领域具备资源组织、专业协同和场景论证基础。</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重点服务：</w:t>
      </w:r>
      <w:r>
        <w:rPr>
          <w:rFonts w:ascii="Times New Roman" w:hAnsi="Times New Roman" w:eastAsia="仿宋_GB2312" w:cs="Times New Roman"/>
          <w:sz w:val="32"/>
          <w:color w:val="000000"/>
        </w:rPr>
        <w:t>围绕可靠性分析、健康评价、故障预警、检修辅助、设备选型和质量改进，形成指标数据、分析接口、专题报告、周期监测和综合场景服务。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合作机会：</w:t>
      </w:r>
      <w:r>
        <w:rPr>
          <w:rFonts w:ascii="Times New Roman" w:hAnsi="Times New Roman" w:eastAsia="仿宋_GB2312" w:cs="Times New Roman"/>
          <w:sz w:val="32"/>
          <w:color w:val="000000"/>
        </w:rPr>
        <w:t>重点面向发电企业、电网企业、设备制造企业、科研院所和专业技术机构，组织设备数据、诊断模型、评价规则、专家知识和真实应用场景，共同开展产品开发和场景验证。</w:t>
      </w:r>
    </w:p>
    <w:p>
      <w:pPr>
        <w:pStyle w:val="OpportunityTitle"/>
        <w:keepNext/>
        <w:spacing w:line="580" w:lineRule="exact" w:before="0" w:after="0"/>
        <w:ind w:left="0" w:right="0" w:firstLine="0"/>
        <w:jc w:val="left"/>
      </w:pPr>
      <w:r>
        <w:rPr>
          <w:rFonts w:ascii="Times New Roman" w:hAnsi="Times New Roman" w:eastAsia="楷体_GB2312" w:cs="Times New Roman"/>
          <w:sz w:val="32"/>
          <w:color w:val="000000"/>
        </w:rPr>
        <w:t>（二）绿色低碳与电碳因子服务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行业需求：</w:t>
      </w:r>
      <w:r>
        <w:rPr>
          <w:rFonts w:ascii="Times New Roman" w:hAnsi="Times New Roman" w:eastAsia="仿宋_GB2312" w:cs="Times New Roman"/>
          <w:sz w:val="32"/>
          <w:color w:val="000000"/>
        </w:rPr>
        <w:t>企业碳核算、产品碳足迹、绿色电力评价、供应链碳管理和国际规则应用，对权威因子、数据方法、持续更新和专业解释提出较高要求。</w:t>
      </w:r>
    </w:p>
    <w:p>
      <w:pPr>
        <w:pStyle w:val="LeadBody"/>
        <w:spacing w:line="580" w:lineRule="exact" w:before="0" w:after="0"/>
        <w:ind w:left="0" w:right="0" w:firstLine="0"/>
        <w:jc w:val="both"/>
      </w:pPr>
      <w:r>
        <w:rPr>
          <w:rFonts w:ascii="Times New Roman" w:hAnsi="Times New Roman" w:eastAsia="仿宋_GB2312" w:cs="Times New Roman"/>
          <w:b/>
          <w:sz w:val="32"/>
          <w:color w:val="000000"/>
        </w:rPr>
        <w:t>现有基础：</w:t>
      </w:r>
      <w:r>
        <w:rPr>
          <w:rFonts w:ascii="Times New Roman" w:hAnsi="Times New Roman" w:eastAsia="仿宋_GB2312" w:cs="Times New Roman"/>
          <w:sz w:val="32"/>
          <w:color w:val="000000"/>
        </w:rPr>
        <w:t>中电联在绿色低碳、行业研究、标准协调和专业服务等方面具有长期积累，可结合平台能力组织相关数据、方法、知识和应用需求。</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重点服务：</w:t>
      </w:r>
      <w:r>
        <w:rPr>
          <w:rFonts w:ascii="Times New Roman" w:hAnsi="Times New Roman" w:eastAsia="仿宋_GB2312" w:cs="Times New Roman"/>
          <w:sz w:val="32"/>
          <w:color w:val="000000"/>
        </w:rPr>
        <w:t>围绕电碳因子查询、碳足迹核算、绿色电力评价、节能降碳和国际规则应用，形成数据查询、指标服务、专题分析、知识服务和场景化应用。</w:t>
      </w:r>
    </w:p>
    <w:p>
      <w:pPr>
        <w:pStyle w:val="LeadBody"/>
        <w:spacing w:line="580" w:lineRule="exact" w:before="0" w:after="0"/>
        <w:ind w:left="0" w:right="0" w:firstLine="0"/>
        <w:jc w:val="both"/>
      </w:pPr>
      <w:r>
        <w:rPr>
          <w:rFonts w:ascii="Times New Roman" w:hAnsi="Times New Roman" w:eastAsia="仿宋_GB2312" w:cs="Times New Roman"/>
          <w:b/>
          <w:sz w:val="32"/>
          <w:color w:val="000000"/>
        </w:rPr>
        <w:t>合作机会：</w:t>
      </w:r>
      <w:r>
        <w:rPr>
          <w:rFonts w:ascii="Times New Roman" w:hAnsi="Times New Roman" w:eastAsia="仿宋_GB2312" w:cs="Times New Roman"/>
          <w:sz w:val="32"/>
          <w:color w:val="000000"/>
        </w:rPr>
        <w:t>重点吸纳具备碳数据、核算方法、专业模型、企业应用场景和技术实施能力的电力企业、能源企业、科研机构及专业服务机构，共同完善因子、方法和场景服务。</w:t>
      </w:r>
    </w:p>
    <w:p>
      <w:pPr>
        <w:pStyle w:val="OpportunityTitle"/>
        <w:keepNext/>
        <w:spacing w:line="580" w:lineRule="exact" w:before="0" w:after="0"/>
        <w:ind w:left="0" w:right="0" w:firstLine="0"/>
        <w:jc w:val="left"/>
      </w:pPr>
      <w:r>
        <w:rPr>
          <w:rFonts w:ascii="Times New Roman" w:hAnsi="Times New Roman" w:eastAsia="楷体_GB2312" w:cs="Times New Roman"/>
          <w:sz w:val="32"/>
          <w:color w:val="000000"/>
        </w:rPr>
        <w:t>（三）电力供需与市场经营服务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行业需求：</w:t>
      </w:r>
      <w:r>
        <w:rPr>
          <w:rFonts w:ascii="Times New Roman" w:hAnsi="Times New Roman" w:eastAsia="仿宋_GB2312" w:cs="Times New Roman"/>
          <w:sz w:val="32"/>
          <w:color w:val="000000"/>
        </w:rPr>
        <w:t>新能源占比提升和电力市场化改革深化，使供需研判、市场运行分析、交易辅助、经营指标监测和风险控制对多源数据、预测模型和持续监测能力的需求不断增加。</w:t>
      </w:r>
    </w:p>
    <w:p>
      <w:pPr>
        <w:pStyle w:val="LeadBody"/>
        <w:spacing w:line="580" w:lineRule="exact" w:before="0" w:after="0"/>
        <w:ind w:left="0" w:right="0" w:firstLine="0"/>
        <w:jc w:val="both"/>
      </w:pPr>
      <w:r>
        <w:rPr>
          <w:rFonts w:ascii="Times New Roman" w:hAnsi="Times New Roman" w:eastAsia="仿宋_GB2312" w:cs="Times New Roman"/>
          <w:b/>
          <w:sz w:val="32"/>
          <w:color w:val="000000"/>
        </w:rPr>
        <w:t>现有基础：</w:t>
      </w:r>
      <w:r>
        <w:rPr>
          <w:rFonts w:ascii="Times New Roman" w:hAnsi="Times New Roman" w:eastAsia="仿宋_GB2312" w:cs="Times New Roman"/>
          <w:sz w:val="32"/>
          <w:color w:val="000000"/>
        </w:rPr>
        <w:t>中电联在行业统计、专业研究、会员服务和供需市场相关场景方面具有资源与场景储备，可依托平台组织需求、数据、模型和专业分析能力。</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重点服务：</w:t>
      </w:r>
      <w:r>
        <w:rPr>
          <w:rFonts w:ascii="Times New Roman" w:hAnsi="Times New Roman" w:eastAsia="仿宋_GB2312" w:cs="Times New Roman"/>
          <w:sz w:val="32"/>
          <w:color w:val="000000"/>
        </w:rPr>
        <w:t>围绕电力供需研判、市场运行分析、交易辅助、经营对标和风险监测，形成数据分析、模型预测、周期监测、专题研判和辅助决策服务。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合作机会：</w:t>
      </w:r>
      <w:r>
        <w:rPr>
          <w:rFonts w:ascii="Times New Roman" w:hAnsi="Times New Roman" w:eastAsia="仿宋_GB2312" w:cs="Times New Roman"/>
          <w:sz w:val="32"/>
          <w:color w:val="000000"/>
        </w:rPr>
        <w:t>重点面向电力企业、能源企业、科研院所、数据服务机构和模型算法机构，引入真实业务需求、市场数据、预测模型和专业分析能力，联合形成可持续更新的产品与场景。</w:t>
      </w:r>
    </w:p>
    <w:p>
      <w:pPr>
        <w:pStyle w:val="OpportunityTitle"/>
        <w:keepNext/>
        <w:spacing w:line="580" w:lineRule="exact" w:before="0" w:after="0"/>
        <w:ind w:left="0" w:right="0" w:firstLine="0"/>
        <w:jc w:val="left"/>
      </w:pPr>
      <w:r>
        <w:rPr>
          <w:rFonts w:ascii="Times New Roman" w:hAnsi="Times New Roman" w:eastAsia="楷体_GB2312" w:cs="Times New Roman"/>
          <w:sz w:val="32"/>
          <w:color w:val="000000"/>
        </w:rPr>
        <w:t>（四）燃料价格预测与供应链服务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行业需求：</w:t>
      </w:r>
      <w:r>
        <w:rPr>
          <w:rFonts w:ascii="Times New Roman" w:hAnsi="Times New Roman" w:eastAsia="仿宋_GB2312" w:cs="Times New Roman"/>
          <w:sz w:val="32"/>
          <w:color w:val="000000"/>
        </w:rPr>
        <w:t>燃料采购、库存判断、成本测算和供应链管理需要及时掌握价格变化、识别价格偏离和评估经营风险，对市场数据、行业数据、预测模型和专业研判具有持续需求。</w:t>
      </w:r>
    </w:p>
    <w:p>
      <w:pPr>
        <w:pStyle w:val="LeadBody"/>
        <w:spacing w:line="580" w:lineRule="exact" w:before="0" w:after="0"/>
        <w:ind w:left="0" w:right="0" w:firstLine="0"/>
        <w:jc w:val="both"/>
      </w:pPr>
      <w:r>
        <w:rPr>
          <w:rFonts w:ascii="Times New Roman" w:hAnsi="Times New Roman" w:eastAsia="仿宋_GB2312" w:cs="Times New Roman"/>
          <w:b/>
          <w:sz w:val="32"/>
          <w:color w:val="000000"/>
        </w:rPr>
        <w:t>现有基础：</w:t>
      </w:r>
      <w:r>
        <w:rPr>
          <w:rFonts w:ascii="Times New Roman" w:hAnsi="Times New Roman" w:eastAsia="仿宋_GB2312" w:cs="Times New Roman"/>
          <w:sz w:val="32"/>
          <w:color w:val="000000"/>
        </w:rPr>
        <w:t>平台已将燃料价格预测与供应链服务纳入首期重点服务方向，可依托中电联行业资源和平台运营体系组织需求单位、数据资源方、模型算法方和专业服务方开展联合验证。</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重点服务：</w:t>
      </w:r>
      <w:r>
        <w:rPr>
          <w:rFonts w:ascii="Times New Roman" w:hAnsi="Times New Roman" w:eastAsia="仿宋_GB2312" w:cs="Times New Roman"/>
          <w:sz w:val="32"/>
          <w:color w:val="000000"/>
        </w:rPr>
        <w:t>围绕燃料采购价格预测、价格偏离监测、采购与库存判断、成本测算、风险监测和专题分析，形成周期性数据服务、模型服务、监测服务和综合场景服务。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合作机会：</w:t>
      </w:r>
      <w:r>
        <w:rPr>
          <w:rFonts w:ascii="Times New Roman" w:hAnsi="Times New Roman" w:eastAsia="仿宋_GB2312" w:cs="Times New Roman"/>
          <w:sz w:val="32"/>
          <w:color w:val="000000"/>
        </w:rPr>
        <w:t>重点面向发电企业、能源企业、供应链数据与分析机构、模型算法机构和专业服务机构，围绕真实采购场景、市场数据、预测模型和持续分析能力开展联合产品与场景合作。</w:t>
      </w:r>
    </w:p>
    <w:p>
      <w:pPr>
        <w:pStyle w:val="OpportunityTitle"/>
        <w:keepNext/>
        <w:spacing w:line="580" w:lineRule="exact" w:before="0" w:after="0"/>
        <w:ind w:left="0" w:right="0" w:firstLine="0"/>
        <w:jc w:val="left"/>
      </w:pPr>
      <w:r>
        <w:rPr>
          <w:rFonts w:ascii="Times New Roman" w:hAnsi="Times New Roman" w:eastAsia="楷体_GB2312" w:cs="Times New Roman"/>
          <w:sz w:val="32"/>
          <w:color w:val="000000"/>
        </w:rPr>
        <w:t>（五）科研教育与高质量数据集服务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行业需求：</w:t>
      </w:r>
      <w:r>
        <w:rPr>
          <w:rFonts w:ascii="Times New Roman" w:hAnsi="Times New Roman" w:eastAsia="仿宋_GB2312" w:cs="Times New Roman"/>
          <w:sz w:val="32"/>
          <w:color w:val="000000"/>
        </w:rPr>
        <w:t>行业科研、专业教育和人工智能应用对高质量数据集、行业知识库、模型训练与微调数据以及安全可控的数据使用环境需求快速增长。</w:t>
      </w:r>
    </w:p>
    <w:p>
      <w:pPr>
        <w:pStyle w:val="LeadBody"/>
        <w:spacing w:line="580" w:lineRule="exact" w:before="0" w:after="0"/>
        <w:ind w:left="0" w:right="0" w:firstLine="0"/>
        <w:jc w:val="both"/>
      </w:pPr>
      <w:r>
        <w:rPr>
          <w:rFonts w:ascii="Times New Roman" w:hAnsi="Times New Roman" w:eastAsia="仿宋_GB2312" w:cs="Times New Roman"/>
          <w:b/>
          <w:sz w:val="32"/>
          <w:color w:val="000000"/>
        </w:rPr>
        <w:t>现有基础：</w:t>
      </w:r>
      <w:r>
        <w:rPr>
          <w:rFonts w:ascii="Times New Roman" w:hAnsi="Times New Roman" w:eastAsia="仿宋_GB2312" w:cs="Times New Roman"/>
          <w:sz w:val="32"/>
          <w:color w:val="000000"/>
        </w:rPr>
        <w:t>中电联在政策标准、行业知识、人才教育和专业研究方面具有长期积累，高等院校、科研院所和人才培养机构具备参与首期产品开发和场景共建的基础条件。</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重点服务：</w:t>
      </w:r>
      <w:r>
        <w:rPr>
          <w:rFonts w:ascii="Times New Roman" w:hAnsi="Times New Roman" w:eastAsia="仿宋_GB2312" w:cs="Times New Roman"/>
          <w:sz w:val="32"/>
          <w:color w:val="000000"/>
        </w:rPr>
        <w:t>组织教材课件、政策标准、行业知识、专业样本和评价模型，形成行业知识库、高质量数据集、模型训练与微调数据、科研数据支撑和教育应用服务。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合作机会：</w:t>
      </w:r>
      <w:r>
        <w:rPr>
          <w:rFonts w:ascii="Times New Roman" w:hAnsi="Times New Roman" w:eastAsia="仿宋_GB2312" w:cs="Times New Roman"/>
          <w:sz w:val="32"/>
          <w:color w:val="000000"/>
        </w:rPr>
        <w:t>重点面向科研院所、高等院校、人才培养机构、行业专家机构和模型技术机构，联合建设高质量数据集、专业知识库和教育科研应用场景。</w:t>
      </w:r>
    </w:p>
    <w:p>
      <w:pPr>
        <w:pStyle w:val="OpportunityTitle"/>
        <w:keepNext/>
        <w:spacing w:line="580" w:lineRule="exact" w:before="0" w:after="0"/>
        <w:ind w:left="0" w:right="0" w:firstLine="0"/>
        <w:jc w:val="left"/>
      </w:pPr>
      <w:r>
        <w:rPr>
          <w:rFonts w:ascii="Times New Roman" w:hAnsi="Times New Roman" w:eastAsia="楷体_GB2312" w:cs="Times New Roman"/>
          <w:sz w:val="32"/>
          <w:color w:val="000000"/>
        </w:rPr>
        <w:t>（六）科技成果可信转化服务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行业需求：</w:t>
      </w:r>
      <w:r>
        <w:rPr>
          <w:rFonts w:ascii="Times New Roman" w:hAnsi="Times New Roman" w:eastAsia="仿宋_GB2312" w:cs="Times New Roman"/>
          <w:sz w:val="32"/>
          <w:color w:val="000000"/>
        </w:rPr>
        <w:t>科技成果从登记、评价到供需对接、实施验收和持续推广涉及多主体、多类型信息和专业服务，需要提高成果信息可信度、供需匹配效率和全过程协同能力。</w:t>
      </w:r>
    </w:p>
    <w:p>
      <w:pPr>
        <w:pStyle w:val="LeadBody"/>
        <w:spacing w:line="580" w:lineRule="exact" w:before="0" w:after="0"/>
        <w:ind w:left="0" w:right="0" w:firstLine="0"/>
        <w:jc w:val="both"/>
      </w:pPr>
      <w:r>
        <w:rPr>
          <w:rFonts w:ascii="Times New Roman" w:hAnsi="Times New Roman" w:eastAsia="仿宋_GB2312" w:cs="Times New Roman"/>
          <w:b/>
          <w:sz w:val="32"/>
          <w:color w:val="000000"/>
        </w:rPr>
        <w:t>现有基础：</w:t>
      </w:r>
      <w:r>
        <w:rPr>
          <w:rFonts w:ascii="Times New Roman" w:hAnsi="Times New Roman" w:eastAsia="仿宋_GB2312" w:cs="Times New Roman"/>
          <w:sz w:val="32"/>
          <w:color w:val="000000"/>
        </w:rPr>
        <w:t>中电联在科技成果、专业评价、行业专家和成果推广等方面具有长期积累，可结合平台可信连接、授权管理和协同服务能力组织相关资源。</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重点服务：</w:t>
      </w:r>
      <w:r>
        <w:rPr>
          <w:rFonts w:ascii="Times New Roman" w:hAnsi="Times New Roman" w:eastAsia="仿宋_GB2312" w:cs="Times New Roman"/>
          <w:sz w:val="32"/>
          <w:color w:val="000000"/>
        </w:rPr>
        <w:t>围绕科技成果鉴定、可信存证、知识产权保护、供需匹配、履约验收、融资风控和成果推广等环节，形成贯通成果登记、评价、撮合、实施和跟踪的场景服务。</w:t>
      </w:r>
    </w:p>
    <w:p>
      <w:pPr>
        <w:pStyle w:val="LeadBody"/>
        <w:spacing w:line="580" w:lineRule="exact" w:before="0" w:after="0"/>
        <w:ind w:left="0" w:right="0" w:firstLine="0"/>
        <w:jc w:val="both"/>
      </w:pPr>
      <w:r>
        <w:rPr>
          <w:rFonts w:ascii="Times New Roman" w:hAnsi="Times New Roman" w:eastAsia="仿宋_GB2312" w:cs="Times New Roman"/>
          <w:b/>
          <w:sz w:val="32"/>
          <w:color w:val="000000"/>
        </w:rPr>
        <w:t>合作机会：</w:t>
      </w:r>
      <w:r>
        <w:rPr>
          <w:rFonts w:ascii="Times New Roman" w:hAnsi="Times New Roman" w:eastAsia="仿宋_GB2312" w:cs="Times New Roman"/>
          <w:sz w:val="32"/>
          <w:color w:val="000000"/>
        </w:rPr>
        <w:t>重点面向电力企业、科研院所、高等院校、专业评价机构和技术服务机构，引入成果信息、专家能力、评价规则、技术需求和实施资源，共同建设可复制推广的成果转化服务。</w:t>
      </w:r>
    </w:p>
    <w:p>
      <w:pPr>
        <w:pStyle w:val="4"/>
        <w:keepNext/>
        <w:spacing w:line="580" w:lineRule="exact" w:before="0" w:after="0"/>
        <w:ind w:left="0" w:right="0" w:firstLine="0"/>
        <w:jc w:val="left"/>
      </w:pPr>
      <w:r>
        <w:rPr>
          <w:rFonts w:ascii="Times New Roman" w:hAnsi="Times New Roman" w:eastAsia="黑体" w:cs="Times New Roman"/>
          <w:sz w:val="32"/>
          <w:color w:val="000000"/>
        </w:rPr>
        <w:t>四、储备与拓展方向</w:t>
      </w:r>
    </w:p>
    <w:p>
      <w:pPr>
        <w:spacing w:line="580" w:lineRule="exact" w:before="0" w:after="0"/>
        <w:ind w:left="0" w:right="0" w:firstLine="640"/>
        <w:jc w:val="both"/>
      </w:pPr>
      <w:r>
        <w:rPr>
          <w:rFonts w:ascii="Times New Roman" w:hAnsi="Times New Roman" w:eastAsia="仿宋_GB2312" w:cs="Times New Roman"/>
          <w:sz w:val="32"/>
          <w:color w:val="000000"/>
        </w:rPr>
        <w:t>新能源与综合能源、信用评价、产业链分析和企业经营管理等方向作为储备培育领域，先开展需求论证、资源盘点和样例设计；电力与气象、交通、工业、建筑、金融等跨行业协同方向作为探索拓展领域，先明确合作主体、数据边界、业务目标和安全条件。各方向按照成熟一项、推进一项的原则动态调整。</w:t>
      </w:r>
    </w:p>
    <w:p>
      <w:pPr>
        <w:spacing w:line="580" w:lineRule="exact" w:before="0" w:after="0"/>
        <w:ind w:left="0" w:right="0" w:firstLine="640"/>
        <w:jc w:val="both"/>
      </w:pPr>
      <w:r>
        <w:rPr>
          <w:rFonts w:ascii="Times New Roman" w:hAnsi="Times New Roman" w:eastAsia="仿宋_GB2312" w:cs="Times New Roman"/>
          <w:sz w:val="32"/>
          <w:color w:val="000000"/>
        </w:rPr>
        <w:t>储备和拓展方向重点关注行业共性需求、数据资源可获得性、权利基础、客户采购条件和复制推广价值。对于具备明确需求单位、可用资源和样例验证条件的事项，可以优先进入合作对接和场景论证流程。</w:t>
      </w:r>
    </w:p>
    <w:p>
      <w:pPr>
        <w:pStyle w:val="4"/>
        <w:keepNext/>
        <w:spacing w:line="580" w:lineRule="exact" w:before="0" w:after="0"/>
        <w:ind w:left="0" w:right="0" w:firstLine="0"/>
        <w:jc w:val="left"/>
      </w:pPr>
      <w:r>
        <w:rPr>
          <w:rFonts w:ascii="Times New Roman" w:hAnsi="Times New Roman" w:eastAsia="黑体" w:cs="Times New Roman"/>
          <w:sz w:val="32"/>
          <w:color w:val="000000"/>
        </w:rPr>
        <w:t>五、服务交付与应用方式</w:t>
      </w:r>
    </w:p>
    <w:p>
      <w:pPr>
        <w:spacing w:line="580" w:lineRule="exact" w:before="0" w:after="0"/>
        <w:ind w:left="0" w:right="0" w:firstLine="640"/>
        <w:jc w:val="both"/>
      </w:pPr>
      <w:r>
        <w:rPr>
          <w:rFonts w:ascii="Times New Roman" w:hAnsi="Times New Roman" w:eastAsia="仿宋_GB2312" w:cs="Times New Roman"/>
          <w:sz w:val="32"/>
          <w:color w:val="000000"/>
        </w:rPr>
        <w:t>平台根据数据风险、资源控制要求、客户业务环境、服务连续性和成本条件，从访问与成果交付、部署运行环境、数据处理方式、服务周期和服务等级五个维度组合形成具体服务方案。各维度相互独立、按需组合，为不同安全等级和业务条件提供适配路径。</w:t>
      </w:r>
    </w:p>
    <w:p>
      <w:pPr>
        <w:pStyle w:val="176"/>
        <w:spacing w:line="580" w:lineRule="exact" w:before="0" w:after="0"/>
        <w:ind w:left="0" w:right="0" w:firstLine="640"/>
        <w:jc w:val="both"/>
      </w:pPr>
      <w:r>
        <w:rPr>
          <w:rFonts w:ascii="Times New Roman" w:hAnsi="Times New Roman" w:eastAsia="仿宋_GB2312" w:cs="Times New Roman"/>
          <w:sz w:val="32"/>
          <w:color w:val="000000"/>
        </w:rPr>
        <w:t>一是访问与成果交付。客户可以通过API、服务网关或者业务系统调用取得约定结果，也可以按照授权获得数据集、指标结果、知识内容、模型结果或者分析成果。具体方案明确调用主体、服务范围、使用目的、额度、结果内容、下载条件和再使用边界。</w:t>
      </w:r>
    </w:p>
    <w:p>
      <w:pPr>
        <w:pStyle w:val="176"/>
        <w:spacing w:line="580" w:lineRule="exact" w:before="0" w:after="0"/>
        <w:ind w:left="0" w:right="0" w:firstLine="640"/>
        <w:jc w:val="both"/>
      </w:pPr>
      <w:r>
        <w:rPr>
          <w:rFonts w:ascii="Times New Roman" w:hAnsi="Times New Roman" w:eastAsia="仿宋_GB2312" w:cs="Times New Roman"/>
          <w:sz w:val="32"/>
          <w:color w:val="000000"/>
        </w:rPr>
        <w:t>二是部署运行环境。根据隔离性、性能和连续性要求，可以采用平台共享环境、专属实例环境或者客户私有环境，并按照约定开展版本管理、运维服务和安全审计。</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数据处理方式。根据资源控制和安全要求，可以采用平台受控处理、源端单方处理或者多方留域联合计算。对不宜集中汇聚的资源，通过可信连接器、隐私保护计算、数据沙箱、可信执行环境等方式实现结果输出和协同应用。</w:t>
      </w:r>
    </w:p>
    <w:p>
      <w:pPr>
        <w:pStyle w:val="176"/>
        <w:spacing w:line="580" w:lineRule="exact" w:before="0" w:after="0"/>
        <w:ind w:left="0" w:right="0" w:firstLine="640"/>
        <w:jc w:val="both"/>
      </w:pPr>
      <w:r>
        <w:rPr>
          <w:rFonts w:ascii="Times New Roman" w:hAnsi="Times New Roman" w:eastAsia="仿宋_GB2312" w:cs="Times New Roman"/>
          <w:sz w:val="32"/>
          <w:color w:val="000000"/>
        </w:rPr>
        <w:t>四是服务周期。根据业务特点形成单次交付、周期更新和持续运营三类安排，分别适用于固定数据包和专题成果、定期更新的数据和报告、持续监测预警及接口模型服务。</w:t>
      </w:r>
    </w:p>
    <w:p>
      <w:pPr>
        <w:pStyle w:val="176"/>
        <w:spacing w:line="580" w:lineRule="exact" w:before="0" w:after="0"/>
        <w:ind w:left="0" w:right="0" w:firstLine="640"/>
        <w:jc w:val="both"/>
      </w:pPr>
      <w:r>
        <w:rPr>
          <w:rFonts w:ascii="Times New Roman" w:hAnsi="Times New Roman" w:eastAsia="仿宋_GB2312" w:cs="Times New Roman"/>
          <w:sz w:val="32"/>
          <w:color w:val="000000"/>
        </w:rPr>
        <w:t>五是服务等级。每项服务结合实际约定服务时间、可用性、响应时效、并发能力、更新频率、故障处理、备份恢复、客户支持、版本兼容和服务补偿等指标。</w:t>
      </w:r>
    </w:p>
    <w:p>
      <w:pPr>
        <w:pStyle w:val="3"/>
        <w:keepNext/>
        <w:pageBreakBefore/>
        <w:spacing w:line="580" w:lineRule="exact" w:before="0" w:after="0"/>
        <w:ind w:left="0" w:right="0" w:firstLine="0"/>
        <w:jc w:val="center"/>
      </w:pPr>
      <w:r>
        <w:rPr>
          <w:rFonts w:ascii="Times New Roman" w:hAnsi="Times New Roman" w:eastAsia="方正小标宋简体" w:cs="Times New Roman"/>
          <w:sz w:val="32"/>
          <w:color w:val="000000"/>
        </w:rPr>
        <w:t>第四章　合作模式与保障机制</w:t>
      </w:r>
    </w:p>
    <w:p>
      <w:pPr>
        <w:pStyle w:val="4"/>
        <w:keepNext/>
        <w:spacing w:line="580" w:lineRule="exact" w:before="0" w:after="0"/>
        <w:ind w:left="0" w:right="0" w:firstLine="0"/>
        <w:jc w:val="left"/>
      </w:pPr>
      <w:r>
        <w:rPr>
          <w:rFonts w:ascii="Times New Roman" w:hAnsi="Times New Roman" w:eastAsia="黑体" w:cs="Times New Roman"/>
          <w:sz w:val="32"/>
          <w:color w:val="000000"/>
        </w:rPr>
        <w:t>一、合作伙伴类型</w:t>
      </w:r>
    </w:p>
    <w:p>
      <w:pPr>
        <w:spacing w:line="580" w:lineRule="exact" w:before="0" w:after="0"/>
        <w:ind w:left="0" w:right="0" w:firstLine="640"/>
        <w:jc w:val="both"/>
      </w:pPr>
      <w:r>
        <w:rPr>
          <w:rFonts w:ascii="Times New Roman" w:hAnsi="Times New Roman" w:eastAsia="仿宋_GB2312" w:cs="Times New Roman"/>
          <w:sz w:val="32"/>
          <w:color w:val="000000"/>
        </w:rPr>
        <w:t>平台面向各类电力企业、能源企业、科研院所、高等院校、数字科技企业、数据服务机构、技术服务机构、专业咨询机构和生态组织开放合作。合作伙伴按照参与角色分为六类，同一单位可以根据实际条件承担一种或者多种角色。</w:t>
      </w:r>
    </w:p>
    <w:p>
      <w:pPr>
        <w:pStyle w:val="176"/>
        <w:spacing w:line="580" w:lineRule="exact" w:before="0" w:after="0"/>
        <w:ind w:left="0" w:right="0" w:firstLine="640"/>
        <w:jc w:val="both"/>
      </w:pPr>
      <w:r>
        <w:rPr>
          <w:rFonts w:ascii="Times New Roman" w:hAnsi="Times New Roman" w:eastAsia="仿宋_GB2312" w:cs="Times New Roman"/>
          <w:sz w:val="32"/>
          <w:color w:val="000000"/>
        </w:rPr>
        <w:t>一是需求与场景合作伙伴。提供真实业务问题、应用场景、客户需求、试点条件和应用反馈，参与场景设计、试点验证和成果评价。</w:t>
      </w:r>
    </w:p>
    <w:p>
      <w:pPr>
        <w:pStyle w:val="176"/>
        <w:spacing w:line="580" w:lineRule="exact" w:before="0" w:after="0"/>
        <w:ind w:left="0" w:right="0" w:firstLine="640"/>
        <w:jc w:val="both"/>
      </w:pPr>
      <w:r>
        <w:rPr>
          <w:rFonts w:ascii="Times New Roman" w:hAnsi="Times New Roman" w:eastAsia="仿宋_GB2312" w:cs="Times New Roman"/>
          <w:sz w:val="32"/>
          <w:color w:val="000000"/>
        </w:rPr>
        <w:t>二是数据资源合作伙伴。提供数据集、指标、样本、文档及相关数据成果，承担资源来源、权利依据、质量、版本更新和持续供应责任。</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三是模型算法合作伙伴。提供模型、算法、知识库、智能体及相关工具，承担功能说明、性能指标、版本维护、部署适配和结果边界责任。</w:t>
      </w:r>
    </w:p>
    <w:p>
      <w:pPr>
        <w:pStyle w:val="176"/>
        <w:spacing w:line="580" w:lineRule="exact" w:before="0" w:after="0"/>
        <w:ind w:left="0" w:right="0" w:firstLine="640"/>
        <w:jc w:val="both"/>
      </w:pPr>
      <w:r>
        <w:rPr>
          <w:rFonts w:ascii="Times New Roman" w:hAnsi="Times New Roman" w:eastAsia="仿宋_GB2312" w:cs="Times New Roman"/>
          <w:sz w:val="32"/>
          <w:color w:val="000000"/>
        </w:rPr>
        <w:t>四是专业服务合作伙伴。提供专家服务、研究分析、评价认证、规则方法、咨询实施和行业经验，承担专业交付和质量保障责任。</w:t>
      </w:r>
    </w:p>
    <w:p>
      <w:pPr>
        <w:pStyle w:val="176"/>
        <w:spacing w:line="580" w:lineRule="exact" w:before="0" w:after="0"/>
        <w:ind w:left="0" w:right="0" w:firstLine="640"/>
        <w:jc w:val="both"/>
      </w:pPr>
      <w:r>
        <w:rPr>
          <w:rFonts w:ascii="Times New Roman" w:hAnsi="Times New Roman" w:eastAsia="仿宋_GB2312" w:cs="Times New Roman"/>
          <w:sz w:val="32"/>
          <w:color w:val="000000"/>
        </w:rPr>
        <w:t>五是技术实施合作伙伴。提供可信连接、数据治理、隐私保护计算、安全审计、系统集成、算力资源、模型开发和运维保障等能力。</w:t>
      </w:r>
    </w:p>
    <w:p>
      <w:pPr>
        <w:pStyle w:val="176"/>
        <w:spacing w:line="580" w:lineRule="exact" w:before="0" w:after="0"/>
        <w:ind w:left="0" w:right="0" w:firstLine="640"/>
        <w:jc w:val="both"/>
      </w:pPr>
      <w:r>
        <w:rPr>
          <w:rFonts w:ascii="Times New Roman" w:hAnsi="Times New Roman" w:eastAsia="仿宋_GB2312" w:cs="Times New Roman"/>
          <w:sz w:val="32"/>
          <w:color w:val="000000"/>
        </w:rPr>
        <w:t>六是市场与生态合作伙伴。提供客户渠道、项目机会、生态组织、联合推广和市场协同，参与需求发现、客户拓展和成果复制。</w:t>
      </w:r>
    </w:p>
    <w:p>
      <w:pPr>
        <w:pStyle w:val="4"/>
        <w:keepNext/>
        <w:spacing w:line="580" w:lineRule="exact" w:before="0" w:after="0"/>
        <w:ind w:left="0" w:right="0" w:firstLine="0"/>
        <w:jc w:val="left"/>
      </w:pPr>
      <w:r>
        <w:rPr>
          <w:rFonts w:ascii="Times New Roman" w:hAnsi="Times New Roman" w:eastAsia="黑体" w:cs="Times New Roman"/>
          <w:sz w:val="32"/>
          <w:color w:val="000000"/>
        </w:rPr>
        <w:t>二、合作模式</w:t>
      </w:r>
    </w:p>
    <w:p>
      <w:pPr>
        <w:spacing w:line="580" w:lineRule="exact" w:before="0" w:after="0"/>
        <w:ind w:left="0" w:right="0" w:firstLine="640"/>
        <w:jc w:val="both"/>
      </w:pPr>
      <w:r>
        <w:rPr>
          <w:rFonts w:ascii="Times New Roman" w:hAnsi="Times New Roman" w:eastAsia="仿宋_GB2312" w:cs="Times New Roman"/>
          <w:sz w:val="32"/>
          <w:color w:val="000000"/>
        </w:rPr>
        <w:t>平台根据合作伙伴资源成熟度、参与深度和业务目标，形成从资源接入、产品共建、场景共营到战略协同的四类合作模式。不同模式可以独立采用，也可以随着合作成熟度逐步深化。</w:t>
      </w:r>
    </w:p>
    <w:p>
      <w:pPr>
        <w:pStyle w:val="176"/>
        <w:spacing w:line="580" w:lineRule="exact" w:before="0" w:after="0"/>
        <w:ind w:left="0" w:right="0" w:firstLine="640"/>
        <w:jc w:val="both"/>
      </w:pPr>
      <w:r>
        <w:rPr>
          <w:rFonts w:ascii="Times New Roman" w:hAnsi="Times New Roman" w:eastAsia="仿宋_GB2312" w:cs="Times New Roman"/>
          <w:sz w:val="32"/>
          <w:color w:val="000000"/>
        </w:rPr>
        <w:t>一是标准接入合作。适用于已经形成明确产品、接口或者服务能力，权利边界清晰、质量稳定、能够持续提供服务的合作伙伴。重点完成产品说明、权利和技术测试、服务上架及客户试用。</w:t>
      </w:r>
    </w:p>
    <w:p>
      <w:pPr>
        <w:pStyle w:val="176"/>
        <w:spacing w:line="580" w:lineRule="exact" w:before="0" w:after="0"/>
        <w:ind w:left="0" w:right="0" w:firstLine="640"/>
        <w:jc w:val="both"/>
      </w:pPr>
      <w:r>
        <w:rPr>
          <w:rFonts w:ascii="Times New Roman" w:hAnsi="Times New Roman" w:eastAsia="仿宋_GB2312" w:cs="Times New Roman"/>
          <w:sz w:val="32"/>
          <w:color w:val="000000"/>
        </w:rPr>
        <w:t>二是联合产品合作。适用于拥有优质资源或者专业能力，仍需开展产品化封装、市场定位和服务设计的合作伙伴。各方共同开展需求分析、产品策划、治理加工、计量定价、样例验证和市场推广。</w:t>
      </w:r>
    </w:p>
    <w:p>
      <w:pPr>
        <w:pStyle w:val="176"/>
        <w:spacing w:line="580" w:lineRule="exact" w:before="0" w:after="0"/>
        <w:ind w:left="0" w:right="0" w:firstLine="640"/>
        <w:jc w:val="both"/>
      </w:pPr>
      <w:r>
        <w:rPr>
          <w:rFonts w:ascii="Times New Roman" w:hAnsi="Times New Roman" w:eastAsia="仿宋_GB2312" w:cs="Times New Roman"/>
          <w:sz w:val="32"/>
          <w:color w:val="000000"/>
        </w:rPr>
        <w:t>三是场景联合运营合作。适用于客户业务问题复杂、需要多方能力组合和持续服务的场景。平台组织需求方、资源方、模型方、技术方和专业服务方共同形成服务方案、实施分工和持续运营安排。</w:t>
      </w:r>
    </w:p>
    <w:p>
      <w:pPr>
        <w:pStyle w:val="176"/>
        <w:spacing w:line="580" w:lineRule="exact" w:before="0" w:after="0"/>
        <w:ind w:left="0" w:right="0" w:firstLine="640"/>
        <w:jc w:val="both"/>
      </w:pPr>
      <w:r>
        <w:rPr>
          <w:rFonts w:ascii="Times New Roman" w:hAnsi="Times New Roman" w:eastAsia="仿宋_GB2312" w:cs="Times New Roman"/>
          <w:sz w:val="32"/>
          <w:color w:val="000000"/>
        </w:rPr>
        <w:t>四是战略生态合作。适用于具有行业影响力、资源组织能力、技术平台基础和长期合作意愿的骨干企业、科研机构、区域平台及生态组织，围绕行业节点互联、重点资源、专业模型、示范场景、标准规则和联合推广建立持续合作机制。</w:t>
      </w:r>
    </w:p>
    <w:p>
      <w:pPr>
        <w:pStyle w:val="4"/>
        <w:keepNext/>
        <w:spacing w:line="580" w:lineRule="exact" w:before="0" w:after="0"/>
        <w:ind w:left="0" w:right="0" w:firstLine="0"/>
        <w:jc w:val="left"/>
      </w:pPr>
      <w:r>
        <w:rPr>
          <w:rFonts w:ascii="Times New Roman" w:hAnsi="Times New Roman" w:eastAsia="黑体" w:cs="Times New Roman"/>
          <w:sz w:val="32"/>
          <w:color w:val="000000"/>
        </w:rPr>
        <w:t>三、平台支持内容</w:t>
      </w:r>
    </w:p>
    <w:p>
      <w:pPr>
        <w:spacing w:line="580" w:lineRule="exact" w:before="0" w:after="0"/>
        <w:ind w:left="0" w:right="0" w:firstLine="640"/>
        <w:jc w:val="both"/>
      </w:pPr>
      <w:r>
        <w:rPr>
          <w:rFonts w:ascii="Times New Roman" w:hAnsi="Times New Roman" w:eastAsia="仿宋_GB2312" w:cs="Times New Roman"/>
          <w:sz w:val="32"/>
          <w:color w:val="000000"/>
        </w:rPr>
        <w:t>中电联及中电联数智公司依托行业组织、专业资源和平台运营能力，为合作伙伴提供从合作对接到持续运营的协同支持，重点包括以下方面。</w:t>
      </w:r>
    </w:p>
    <w:p>
      <w:pPr>
        <w:pStyle w:val="176"/>
        <w:spacing w:line="580" w:lineRule="exact" w:before="0" w:after="0"/>
        <w:ind w:left="0" w:right="0" w:firstLine="640"/>
        <w:jc w:val="both"/>
      </w:pPr>
      <w:r>
        <w:rPr>
          <w:rFonts w:ascii="Times New Roman" w:hAnsi="Times New Roman" w:eastAsia="仿宋_GB2312" w:cs="Times New Roman"/>
          <w:sz w:val="32"/>
          <w:color w:val="000000"/>
        </w:rPr>
        <w:t>一是需求与客户对接。围绕行业共性需求、会员单位需求和重点客户业务问题开展需求征集、场景组织和客户沟通，为成熟资源和能力匹配应用场景。</w:t>
      </w:r>
    </w:p>
    <w:p>
      <w:pPr>
        <w:pStyle w:val="176"/>
        <w:spacing w:line="580" w:lineRule="exact" w:before="0" w:after="0"/>
        <w:ind w:left="0" w:right="0" w:firstLine="640"/>
        <w:jc w:val="both"/>
      </w:pPr>
      <w:r>
        <w:rPr>
          <w:rFonts w:ascii="Times New Roman" w:hAnsi="Times New Roman" w:eastAsia="仿宋_GB2312" w:cs="Times New Roman"/>
          <w:sz w:val="32"/>
          <w:color w:val="000000"/>
        </w:rPr>
        <w:t>二是资源产品化支持。协助合作伙伴梳理资源范围、权利条件、质量说明、目标客户、服务规格和交付方式，形成规范的数据产品、数据服务或者场景服务说明。</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三是技术接入与可信交付。提供主体接入、接口衔接、服务网关、可信连接、授权控制、受控计算、日志审计和成果交付等共性能力，降低跨主体技术协同成本。</w:t>
      </w:r>
    </w:p>
    <w:p>
      <w:pPr>
        <w:pStyle w:val="176"/>
        <w:spacing w:line="580" w:lineRule="exact" w:before="0" w:after="0"/>
        <w:ind w:left="0" w:right="0" w:firstLine="640"/>
        <w:jc w:val="both"/>
      </w:pPr>
      <w:r>
        <w:rPr>
          <w:rFonts w:ascii="Times New Roman" w:hAnsi="Times New Roman" w:eastAsia="仿宋_GB2312" w:cs="Times New Roman"/>
          <w:sz w:val="32"/>
          <w:color w:val="000000"/>
        </w:rPr>
        <w:t>四是运营与计量结算。组织产品发布、订单履行、服务权益、有效计量、账单确认、合作伙伴对账和运营评价，形成客户购买、技术执行和商务结算相互对应的业务依据。</w:t>
      </w:r>
    </w:p>
    <w:p>
      <w:pPr>
        <w:pStyle w:val="176"/>
        <w:spacing w:line="580" w:lineRule="exact" w:before="0" w:after="0"/>
        <w:ind w:left="0" w:right="0" w:firstLine="640"/>
        <w:jc w:val="both"/>
      </w:pPr>
      <w:r>
        <w:rPr>
          <w:rFonts w:ascii="Times New Roman" w:hAnsi="Times New Roman" w:eastAsia="仿宋_GB2312" w:cs="Times New Roman"/>
          <w:sz w:val="32"/>
          <w:color w:val="000000"/>
        </w:rPr>
        <w:t>五是联合推广与生态协同。根据产品和场景成熟度组织行业交流、成果发布、客户拓展、续约增购和复制推广，推动形成持续订单和规模化服务能力。</w:t>
      </w:r>
    </w:p>
    <w:p>
      <w:pPr>
        <w:pStyle w:val="4"/>
        <w:keepNext/>
        <w:spacing w:line="580" w:lineRule="exact" w:before="0" w:after="0"/>
        <w:ind w:left="0" w:right="0" w:firstLine="0"/>
        <w:jc w:val="left"/>
      </w:pPr>
      <w:r>
        <w:rPr>
          <w:rFonts w:ascii="Times New Roman" w:hAnsi="Times New Roman" w:eastAsia="黑体" w:cs="Times New Roman"/>
          <w:sz w:val="32"/>
          <w:color w:val="000000"/>
        </w:rPr>
        <w:t>四、基本商务机制</w:t>
      </w:r>
    </w:p>
    <w:p>
      <w:pPr>
        <w:spacing w:line="580" w:lineRule="exact" w:before="0" w:after="0"/>
        <w:ind w:left="0" w:right="0" w:firstLine="640"/>
        <w:jc w:val="both"/>
      </w:pPr>
      <w:r>
        <w:rPr>
          <w:rFonts w:ascii="Times New Roman" w:hAnsi="Times New Roman" w:eastAsia="仿宋_GB2312" w:cs="Times New Roman"/>
          <w:sz w:val="32"/>
          <w:color w:val="000000"/>
        </w:rPr>
        <w:t>平台根据中电联行业服务职能和市场化运营要求，建立与数据服务、场景服务相适应的商务机制。商务合作明确服务属性、客户价值、基本计价逻辑和各方贡献；具体价格、结算单价、分配比例、付款条件和税务安排，由相关各方在单项合作方案、合作协议或者项目合同中协商确定。</w:t>
      </w:r>
    </w:p>
    <w:p>
      <w:pPr>
        <w:pStyle w:val="176"/>
        <w:spacing w:line="580" w:lineRule="exact" w:before="0" w:after="0"/>
        <w:ind w:left="0" w:right="0" w:firstLine="640"/>
        <w:jc w:val="both"/>
      </w:pPr>
      <w:r>
        <w:rPr>
          <w:rFonts w:ascii="Times New Roman" w:hAnsi="Times New Roman" w:eastAsia="仿宋_GB2312" w:cs="Times New Roman"/>
          <w:sz w:val="32"/>
          <w:color w:val="000000"/>
        </w:rPr>
        <w:t>一是分类明确服务属性。公益性和任务性服务通过专项任务、研究项目、行业共建投入或者其他合规方式保障；行业基础服务可以通过年度服务、基础订阅或者统一服务包提供；市场化增值服务根据订阅、调用、项目建设、持续运营或者专项服务等方式收费。</w:t>
      </w:r>
    </w:p>
    <w:p>
      <w:pPr>
        <w:pStyle w:val="176"/>
        <w:spacing w:line="580" w:lineRule="exact" w:before="0" w:after="0"/>
        <w:ind w:left="0" w:right="0" w:firstLine="640"/>
        <w:jc w:val="both"/>
      </w:pPr>
      <w:r>
        <w:rPr>
          <w:rFonts w:ascii="Times New Roman" w:hAnsi="Times New Roman" w:eastAsia="仿宋_GB2312" w:cs="Times New Roman"/>
          <w:sz w:val="32"/>
          <w:color w:val="000000"/>
        </w:rPr>
        <w:t>二是围绕客户交付形成报价。客户报价根据服务产品、实施部署、专属资源、安全保障、持续运营和适用税费等因素组合形成，对外重点围绕服务事项、交付成果、服务周期、使用范围和服务等级表达。</w:t>
      </w:r>
    </w:p>
    <w:p>
      <w:pPr>
        <w:pStyle w:val="176"/>
        <w:spacing w:line="580" w:lineRule="exact" w:before="0" w:after="0"/>
        <w:ind w:left="0" w:right="0" w:firstLine="640"/>
        <w:jc w:val="both"/>
      </w:pPr>
      <w:r>
        <w:rPr>
          <w:rFonts w:ascii="Times New Roman" w:hAnsi="Times New Roman" w:eastAsia="仿宋_GB2312" w:cs="Times New Roman"/>
          <w:sz w:val="32"/>
          <w:color w:val="000000"/>
        </w:rPr>
        <w:t>三是根据合作形态选择结算方式。成熟数据接口、标准数据集、已有模型和可独立计量的专业服务，可以采用固定价格或者供给方结算单价；联合开发和持续运营产品可以采用可分配收入比例；场景建设、私有化部署、系统集成和定制开发可以按照工作包、里程碑、实际工作量和验收成果结算。</w:t>
      </w:r>
    </w:p>
    <w:p>
      <w:pPr>
        <w:pStyle w:val="176"/>
        <w:spacing w:line="580" w:lineRule="exact" w:before="0" w:after="0"/>
        <w:ind w:left="0" w:right="0" w:firstLine="640"/>
        <w:jc w:val="both"/>
      </w:pPr>
      <w:r>
        <w:rPr>
          <w:rFonts w:ascii="Times New Roman" w:hAnsi="Times New Roman" w:eastAsia="仿宋_GB2312" w:cs="Times New Roman"/>
          <w:sz w:val="32"/>
          <w:color w:val="000000"/>
        </w:rPr>
        <w:t>四是收益安排与实际贡献相匹配。各方根据资源贡献、产品与模型开发、客户获取、技术交付、平台运营、持续服务和风险责任协商确定收益安排，并以实际回款、可核验成本和有效履约记录为基础开展对账结算。</w:t>
      </w:r>
    </w:p>
    <w:p>
      <w:pPr>
        <w:spacing w:line="580" w:lineRule="exact" w:before="0" w:after="0"/>
        <w:ind w:left="0" w:right="0" w:firstLine="640"/>
        <w:jc w:val="both"/>
      </w:pPr>
      <w:r>
        <w:rPr>
          <w:rFonts w:ascii="Times New Roman" w:hAnsi="Times New Roman" w:eastAsia="仿宋_GB2312" w:cs="Times New Roman"/>
          <w:sz w:val="32"/>
          <w:color w:val="000000"/>
        </w:rPr>
        <w:t>平台不设置统一对外价格或者固定分成比例，具体商务报价、成本扣除、贡献评分和收益分配根据单项合作的客户采购条件、资源投入、服务责任和风险承担协商确定。</w:t>
      </w:r>
    </w:p>
    <w:p>
      <w:pPr>
        <w:pStyle w:val="4"/>
        <w:keepNext/>
        <w:spacing w:line="580" w:lineRule="exact" w:before="0" w:after="0"/>
        <w:ind w:left="0" w:right="0" w:firstLine="0"/>
        <w:jc w:val="left"/>
      </w:pPr>
      <w:r>
        <w:rPr>
          <w:rFonts w:ascii="Times New Roman" w:hAnsi="Times New Roman" w:eastAsia="黑体" w:cs="Times New Roman"/>
          <w:sz w:val="32"/>
          <w:color w:val="000000"/>
        </w:rPr>
        <w:t>五、数据安全、权利与衍生成果保障</w:t>
      </w:r>
    </w:p>
    <w:p>
      <w:pPr>
        <w:spacing w:line="580" w:lineRule="exact" w:before="0" w:after="0"/>
        <w:ind w:left="0" w:right="0" w:firstLine="640"/>
        <w:jc w:val="both"/>
      </w:pPr>
      <w:r>
        <w:rPr>
          <w:rFonts w:ascii="Times New Roman" w:hAnsi="Times New Roman" w:eastAsia="仿宋_GB2312" w:cs="Times New Roman"/>
          <w:sz w:val="32"/>
          <w:color w:val="000000"/>
        </w:rPr>
        <w:t>平台按照国家数据安全、网络安全、个人信息保护和能源行业有关制度要求，建立覆盖资源登记、产品设计、合同授权、运行审计和退出清理的全过程控制链，并根据不同权利对象明确使用范围、成果边界和退出条件。</w:t>
      </w:r>
    </w:p>
    <w:p>
      <w:pPr>
        <w:pStyle w:val="176"/>
        <w:spacing w:line="580" w:lineRule="exact" w:before="0" w:after="0"/>
        <w:ind w:left="0" w:right="0" w:firstLine="640"/>
        <w:jc w:val="both"/>
      </w:pPr>
      <w:r>
        <w:rPr>
          <w:rFonts w:ascii="Times New Roman" w:hAnsi="Times New Roman" w:eastAsia="仿宋_GB2312" w:cs="Times New Roman"/>
          <w:sz w:val="32"/>
          <w:color w:val="000000"/>
        </w:rPr>
        <w:t>一是合作伙伴既有资源。原始数据、核心模型、模型权重、关键算法、软件、专业知识和既有知识产权继续保持原有归属，平台和客户仅在合同授权用途、范围和期限内使用。</w:t>
      </w:r>
    </w:p>
    <w:p>
      <w:pPr>
        <w:pStyle w:val="176"/>
        <w:spacing w:line="580" w:lineRule="exact" w:before="0" w:after="0"/>
        <w:ind w:left="0" w:right="0" w:firstLine="640"/>
        <w:jc w:val="both"/>
      </w:pPr>
      <w:r>
        <w:rPr>
          <w:rFonts w:ascii="Times New Roman" w:hAnsi="Times New Roman" w:eastAsia="仿宋_GB2312" w:cs="Times New Roman"/>
          <w:sz w:val="32"/>
          <w:color w:val="000000"/>
        </w:rPr>
        <w:t>二是客户专属资源。客户业务数据、提示词、上下文、专属知识库、配置参数和专属服务结果按照客户合同管理，未经授权不得用于其他客户或者超出约定范围的产品开发。</w:t>
      </w:r>
    </w:p>
    <w:p>
      <w:pPr>
        <w:pStyle w:val="176"/>
        <w:spacing w:line="580" w:lineRule="exact" w:before="0" w:after="0"/>
        <w:ind w:left="0" w:right="0" w:firstLine="640"/>
        <w:jc w:val="both"/>
      </w:pPr>
      <w:r>
        <w:rPr>
          <w:rFonts w:ascii="Times New Roman" w:hAnsi="Times New Roman" w:eastAsia="仿宋_GB2312" w:cs="Times New Roman"/>
          <w:sz w:val="32"/>
          <w:color w:val="000000"/>
        </w:rPr>
        <w:t>三是单方加工成果。基于单方资源形成的数据清洗、指标标签、接口封装、报告模板和模型适配成果，根据基础权利、加工投入和可分离程度明确归属、使用许可、收益安排和后续改进权益。</w:t>
      </w:r>
    </w:p>
    <w:p>
      <w:pPr>
        <w:pStyle w:val="176"/>
        <w:spacing w:line="580" w:lineRule="exact" w:before="0" w:after="0"/>
        <w:ind w:left="0" w:right="0" w:firstLine="640"/>
        <w:jc w:val="both"/>
      </w:pPr>
      <w:r>
        <w:rPr>
          <w:rFonts w:ascii="Times New Roman" w:hAnsi="Times New Roman" w:eastAsia="仿宋_GB2312" w:cs="Times New Roman"/>
          <w:sz w:val="32"/>
          <w:color w:val="000000"/>
        </w:rPr>
        <w:t>四是多方联合成果。联合数据产品、模型参数、场景方案、软件组件和标准规范，根据各方资源、资金、人员和持续运营投入，明确权利归属、使用范围、对外许可、收益分配和退出后的继续使用条件。</w:t>
      </w:r>
    </w:p>
    <w:p>
      <w:pPr>
        <w:pStyle w:val="176"/>
        <w:spacing w:line="580" w:lineRule="exact" w:before="0" w:after="0"/>
        <w:ind w:left="0" w:right="0" w:firstLine="640"/>
        <w:jc w:val="both"/>
      </w:pPr>
      <w:r>
        <w:rPr>
          <w:rFonts w:ascii="Times New Roman" w:hAnsi="Times New Roman" w:eastAsia="仿宋_GB2312" w:cs="Times New Roman"/>
          <w:sz w:val="32"/>
          <w:color w:val="000000"/>
        </w:rPr>
        <w:t>五是平台运行信息。计量日志、服务记录、客户反馈、安全日志和运营分析结果按照法律法规、合同、保密要求和平台规则使用，用于安全审计、计量结算、质量改进和合规运营分析。</w:t>
      </w:r>
    </w:p>
    <w:p>
      <w:pPr>
        <w:spacing w:line="580" w:lineRule="exact" w:before="0" w:after="0"/>
        <w:ind w:left="0" w:right="0" w:firstLine="640"/>
        <w:jc w:val="both"/>
      </w:pPr>
      <w:r>
        <w:rPr>
          <w:rFonts w:ascii="Times New Roman" w:hAnsi="Times New Roman" w:eastAsia="仿宋_GB2312" w:cs="Times New Roman"/>
          <w:sz w:val="32"/>
          <w:color w:val="000000"/>
        </w:rPr>
        <w:t>涉及模型训练、模型微调、知识库扩展、数据产品扩展或者其他二次使用的，另行取得明确授权。合作终止时，各方按照约定完成存量订单履行、客户通知、授权撤销、数据返还或者删除、模型和接口停用、账单结算和资料归档。</w:t>
      </w:r>
    </w:p>
    <w:p>
      <w:pPr>
        <w:pStyle w:val="4"/>
        <w:keepNext/>
        <w:spacing w:line="580" w:lineRule="exact" w:before="0" w:after="0"/>
        <w:ind w:left="0" w:right="0" w:firstLine="0"/>
        <w:jc w:val="left"/>
      </w:pPr>
      <w:r>
        <w:rPr>
          <w:rFonts w:ascii="Times New Roman" w:hAnsi="Times New Roman" w:eastAsia="黑体" w:cs="Times New Roman"/>
          <w:sz w:val="32"/>
          <w:color w:val="000000"/>
        </w:rPr>
        <w:t>六、服务质量与风险保障</w:t>
      </w:r>
    </w:p>
    <w:p>
      <w:pPr>
        <w:spacing w:line="580" w:lineRule="exact" w:before="0" w:after="0"/>
        <w:ind w:left="0" w:right="0" w:firstLine="640"/>
        <w:jc w:val="both"/>
      </w:pPr>
      <w:r>
        <w:rPr>
          <w:rFonts w:ascii="Times New Roman" w:hAnsi="Times New Roman" w:eastAsia="仿宋_GB2312" w:cs="Times New Roman"/>
          <w:sz w:val="32"/>
          <w:color w:val="000000"/>
        </w:rPr>
        <w:t>平台和合作伙伴建立常态质量保障、运行监测、分级响应和变更控制机制，覆盖数据质量、服务可用性、模型效果、场景成效、商务履约和安全合规，确保客户服务统一受理、内部责任落实到方。</w:t>
      </w:r>
    </w:p>
    <w:p>
      <w:pPr>
        <w:pStyle w:val="176"/>
        <w:spacing w:line="580" w:lineRule="exact" w:before="0" w:after="0"/>
        <w:ind w:left="0" w:right="0" w:firstLine="640"/>
        <w:jc w:val="both"/>
      </w:pPr>
      <w:r>
        <w:rPr>
          <w:rFonts w:ascii="Times New Roman" w:hAnsi="Times New Roman" w:eastAsia="仿宋_GB2312" w:cs="Times New Roman"/>
          <w:sz w:val="32"/>
          <w:color w:val="000000"/>
        </w:rPr>
        <w:t>一是建立质量标准和责任分工。数据服务重点关注准确性、完整性、一致性、及时性和可追溯性；模型服务重点关注适用性、稳定性、可解释性、安全性和结果边界；场景服务重点关注业务目标、交付成果、持续运行、客户应用成效和复制条件。</w:t>
      </w:r>
    </w:p>
    <w:p>
      <w:pPr>
        <w:pStyle w:val="176"/>
        <w:spacing w:line="580" w:lineRule="exact" w:before="0" w:after="0"/>
        <w:ind w:left="0" w:right="0" w:firstLine="640"/>
        <w:jc w:val="both"/>
      </w:pPr>
      <w:r>
        <w:rPr>
          <w:rFonts w:ascii="Times New Roman" w:hAnsi="Times New Roman" w:eastAsia="仿宋_GB2312" w:cs="Times New Roman"/>
          <w:sz w:val="32"/>
          <w:color w:val="000000"/>
        </w:rPr>
        <w:t>二是加强模型和版本治理。涉及人工智能的服务实行模型登记、版本管理、构建数据来源说明、模型评测、输入输出检查、调用日志、版本回退和停用管理；对高风险预测、诊断和决策辅助结果，明确适用条件、人工复核要求和责任边界。</w:t>
      </w:r>
    </w:p>
    <w:p>
      <w:pPr>
        <w:pStyle w:val="176"/>
        <w:spacing w:line="580" w:lineRule="exact" w:before="0" w:after="0"/>
        <w:ind w:left="0" w:right="0" w:firstLine="640"/>
        <w:jc w:val="both"/>
      </w:pPr>
      <w:r>
        <w:rPr>
          <w:rFonts w:ascii="Times New Roman" w:hAnsi="Times New Roman" w:eastAsia="仿宋_GB2312" w:cs="Times New Roman"/>
          <w:sz w:val="32"/>
          <w:color w:val="000000"/>
        </w:rPr>
        <w:t>三是开展运行监测和异常响应。持续监测数据质量、接口运行、模型输出、服务可用性、客户反馈、安全事件和商务履约，根据影响程度开展客户沟通、恢复处理、专项复核、服务暂停、安全处置和整改闭环。</w:t>
      </w:r>
    </w:p>
    <w:p>
      <w:pPr>
        <w:pStyle w:val="176"/>
        <w:spacing w:line="580" w:lineRule="exact" w:before="0" w:after="0"/>
        <w:ind w:left="0" w:right="0" w:firstLine="640"/>
        <w:jc w:val="both"/>
      </w:pPr>
      <w:r>
        <w:rPr>
          <w:rFonts w:ascii="Times New Roman" w:hAnsi="Times New Roman" w:eastAsia="仿宋_GB2312" w:cs="Times New Roman"/>
          <w:sz w:val="32"/>
          <w:color w:val="000000"/>
        </w:rPr>
        <w:t>四是落实变更和退出管理。产品内容、数据来源、模型版本、授权范围、交付方式、价格规则和服务等级发生重大变化时，履行变更确认、版本更新和客户通知；对持续质量不达标、权利条件不清、存在重大安全合规风险或者严重违反合作约定的事项，按照协议和平台规则采取整改、限制调用、暂停服务、产品下架或者终止合作等措施。</w:t>
      </w:r>
    </w:p>
    <w:p>
      <w:pPr>
        <w:pStyle w:val="3"/>
        <w:keepNext/>
        <w:pageBreakBefore/>
        <w:spacing w:line="580" w:lineRule="exact" w:before="0" w:after="0"/>
        <w:ind w:left="0" w:right="0" w:firstLine="0"/>
        <w:jc w:val="center"/>
      </w:pPr>
      <w:r>
        <w:rPr>
          <w:rFonts w:ascii="Times New Roman" w:hAnsi="Times New Roman" w:eastAsia="方正小标宋简体" w:cs="Times New Roman"/>
          <w:sz w:val="32"/>
          <w:color w:val="000000"/>
        </w:rPr>
        <w:t>第五章　合作对接与推进安排</w:t>
      </w:r>
    </w:p>
    <w:p>
      <w:pPr>
        <w:spacing w:line="580" w:lineRule="exact" w:before="0" w:after="0"/>
        <w:ind w:left="0" w:right="0" w:firstLine="640"/>
        <w:jc w:val="both"/>
      </w:pPr>
      <w:r>
        <w:rPr>
          <w:rFonts w:ascii="Times New Roman" w:hAnsi="Times New Roman" w:eastAsia="仿宋_GB2312" w:cs="Times New Roman"/>
          <w:sz w:val="32"/>
          <w:color w:val="000000"/>
        </w:rPr>
        <w:t>具体合作事项根据需求真实性、资源成熟度、权利条件、技术可行性、商务可行性和持续运营能力分阶段推进，原则上形成“合作意向—资源与需求对接—成熟度评估—方案深化—试点验证—正式运营与复制推广”的推进路径。</w:t>
      </w:r>
    </w:p>
    <w:p>
      <w:pPr>
        <w:pStyle w:val="4"/>
        <w:keepNext/>
        <w:spacing w:line="580" w:lineRule="exact" w:before="0" w:after="0"/>
        <w:ind w:left="0" w:right="0" w:firstLine="0"/>
        <w:jc w:val="left"/>
      </w:pPr>
      <w:r>
        <w:rPr>
          <w:rFonts w:ascii="Times New Roman" w:hAnsi="Times New Roman" w:eastAsia="黑体" w:cs="Times New Roman"/>
          <w:sz w:val="32"/>
          <w:color w:val="000000"/>
        </w:rPr>
        <w:t>一、合作意向登记</w:t>
      </w:r>
    </w:p>
    <w:p>
      <w:pPr>
        <w:spacing w:line="580" w:lineRule="exact" w:before="0" w:after="0"/>
        <w:ind w:left="0" w:right="0" w:firstLine="640"/>
        <w:jc w:val="both"/>
      </w:pPr>
      <w:r>
        <w:rPr>
          <w:rFonts w:ascii="Times New Roman" w:hAnsi="Times New Roman" w:eastAsia="仿宋_GB2312" w:cs="Times New Roman"/>
          <w:sz w:val="32"/>
          <w:color w:val="000000"/>
        </w:rPr>
        <w:t>中电联负责重大合作事项统筹和行业资源协调。中电联数智公司作为平台运营单位，建立合作伙伴常态化对接机制和统一窗口，围绕数据资源、专业知识、模型算法、技术能力、业务场景和市场需求开展合作交流、需求征集、资源对接和事项跟踪。</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重点内容：</w:t>
      </w:r>
      <w:r>
        <w:rPr>
          <w:rFonts w:ascii="Times New Roman" w:hAnsi="Times New Roman" w:eastAsia="仿宋_GB2312" w:cs="Times New Roman"/>
          <w:sz w:val="32"/>
          <w:color w:val="000000"/>
        </w:rPr>
        <w:t>合作伙伴说明拟提供的资源和能力、拟解决的业务问题、目标客户、预期产品或者场景、主要合作诉求、可投入资源和计划周期，并明确双方对接负责人和沟通机制。</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阶段成果：</w:t>
      </w:r>
      <w:r>
        <w:rPr>
          <w:rFonts w:ascii="Times New Roman" w:hAnsi="Times New Roman" w:eastAsia="仿宋_GB2312" w:cs="Times New Roman"/>
          <w:sz w:val="32"/>
          <w:color w:val="000000"/>
        </w:rPr>
        <w:t>形成合作意向登记、联系人及工作机制、初步资源与需求清单和后续工作计划；对尚未形成明确业务问题或者可对接资源的事项，作为储备线索持续跟踪。</w:t>
      </w:r>
    </w:p>
    <w:p>
      <w:pPr>
        <w:pStyle w:val="4"/>
        <w:keepNext/>
        <w:spacing w:line="580" w:lineRule="exact" w:before="0" w:after="0"/>
        <w:ind w:left="0" w:right="0" w:firstLine="0"/>
        <w:jc w:val="left"/>
      </w:pPr>
      <w:r>
        <w:rPr>
          <w:rFonts w:ascii="Times New Roman" w:hAnsi="Times New Roman" w:eastAsia="黑体" w:cs="Times New Roman"/>
          <w:sz w:val="32"/>
          <w:color w:val="000000"/>
        </w:rPr>
        <w:t>二、资源与需求对接</w:t>
      </w:r>
    </w:p>
    <w:p>
      <w:pPr>
        <w:spacing w:line="580" w:lineRule="exact" w:before="0" w:after="0"/>
        <w:ind w:left="0" w:right="0" w:firstLine="640"/>
        <w:jc w:val="both"/>
      </w:pPr>
      <w:r>
        <w:rPr>
          <w:rFonts w:ascii="Times New Roman" w:hAnsi="Times New Roman" w:eastAsia="仿宋_GB2312" w:cs="Times New Roman"/>
          <w:sz w:val="32"/>
          <w:color w:val="000000"/>
        </w:rPr>
        <w:t>平台同步梳理合作伙伴资源能力和客户需求，重点分析资源内容、来源权利、质量状况、技术条件、安全要求、服务保障、目标客户和现有应用情况，推动供给能力与真实业务问题相互匹配。</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重点内容：</w:t>
      </w:r>
      <w:r>
        <w:rPr>
          <w:rFonts w:ascii="Times New Roman" w:hAnsi="Times New Roman" w:eastAsia="仿宋_GB2312" w:cs="Times New Roman"/>
          <w:sz w:val="32"/>
          <w:color w:val="000000"/>
        </w:rPr>
        <w:t>明确“有什么资源和能力、解决什么问题、面向哪些客户、形成什么产品或者场景、需要哪些配套条件”，必要时形成样例数据、样例接口、样例报告或者初步场景方案。</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阶段成果：</w:t>
      </w:r>
      <w:r>
        <w:rPr>
          <w:rFonts w:ascii="Times New Roman" w:hAnsi="Times New Roman" w:eastAsia="仿宋_GB2312" w:cs="Times New Roman"/>
          <w:sz w:val="32"/>
          <w:color w:val="000000"/>
        </w:rPr>
        <w:t>形成合作伙伴资源与能力清单、客户需求与场景清单、初步权利和合规判断，以及可优先论证的合作事项。</w:t>
      </w:r>
    </w:p>
    <w:p>
      <w:pPr>
        <w:pStyle w:val="4"/>
        <w:keepNext/>
        <w:spacing w:line="580" w:lineRule="exact" w:before="0" w:after="0"/>
        <w:ind w:left="0" w:right="0" w:firstLine="0"/>
        <w:jc w:val="left"/>
      </w:pPr>
      <w:r>
        <w:rPr>
          <w:rFonts w:ascii="Times New Roman" w:hAnsi="Times New Roman" w:eastAsia="黑体" w:cs="Times New Roman"/>
          <w:sz w:val="32"/>
          <w:color w:val="000000"/>
        </w:rPr>
        <w:t>三、合作事项成熟度评估</w:t>
      </w:r>
    </w:p>
    <w:p>
      <w:pPr>
        <w:spacing w:line="580" w:lineRule="exact" w:before="0" w:after="0"/>
        <w:ind w:left="0" w:right="0" w:firstLine="640"/>
        <w:jc w:val="both"/>
      </w:pPr>
      <w:r>
        <w:rPr>
          <w:rFonts w:ascii="Times New Roman" w:hAnsi="Times New Roman" w:eastAsia="仿宋_GB2312" w:cs="Times New Roman"/>
          <w:sz w:val="32"/>
          <w:color w:val="000000"/>
        </w:rPr>
        <w:t>对拟进入实施方案编制和试点的合作事项开展成熟度评估，重点判断需求真实性、资源可用性、权利清晰度、质量成熟度、技术可行性、安全合规性、商业可行性、持续运营能力和复制推广价值，识别实施条件和主要风险。依法应当履行的审批、评估或者备案程序按有关规定执行。</w:t>
      </w:r>
    </w:p>
    <w:p>
      <w:pPr>
        <w:pStyle w:val="LeadBody"/>
        <w:spacing w:line="580" w:lineRule="exact" w:before="0" w:after="0"/>
        <w:ind w:left="0" w:right="0" w:firstLine="0"/>
        <w:jc w:val="both"/>
      </w:pPr>
      <w:r>
        <w:rPr>
          <w:rFonts w:ascii="Times New Roman" w:hAnsi="Times New Roman" w:eastAsia="仿宋_GB2312" w:cs="Times New Roman"/>
          <w:b/>
          <w:sz w:val="32"/>
          <w:color w:val="000000"/>
        </w:rPr>
        <w:t>优先条件：</w:t>
      </w:r>
      <w:r>
        <w:rPr>
          <w:rFonts w:ascii="Times New Roman" w:hAnsi="Times New Roman" w:eastAsia="仿宋_GB2312" w:cs="Times New Roman"/>
          <w:sz w:val="32"/>
          <w:color w:val="000000"/>
        </w:rPr>
        <w:t>首期合作事项原则上具有真实需求方、明确业务负责人、可用数据或者专业能力、基本权利依据、样例验证条件、初步价格接受基础和持续服务责任。</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阶段成果：</w:t>
      </w:r>
      <w:r>
        <w:rPr>
          <w:rFonts w:ascii="Times New Roman" w:hAnsi="Times New Roman" w:eastAsia="仿宋_GB2312" w:cs="Times New Roman"/>
          <w:sz w:val="32"/>
          <w:color w:val="000000"/>
        </w:rPr>
        <w:t>形成成熟度评估结论和缺口清单，明确优先推进、补充条件后推进、继续储备或者暂不推进，并确定后续责任人和工作安排。</w:t>
      </w:r>
    </w:p>
    <w:p>
      <w:pPr>
        <w:pStyle w:val="4"/>
        <w:keepNext/>
        <w:spacing w:line="580" w:lineRule="exact" w:before="0" w:after="0"/>
        <w:ind w:left="0" w:right="0" w:firstLine="0"/>
        <w:jc w:val="left"/>
      </w:pPr>
      <w:r>
        <w:rPr>
          <w:rFonts w:ascii="Times New Roman" w:hAnsi="Times New Roman" w:eastAsia="黑体" w:cs="Times New Roman"/>
          <w:sz w:val="32"/>
          <w:color w:val="000000"/>
        </w:rPr>
        <w:t>四、合作方案深化</w:t>
      </w:r>
    </w:p>
    <w:p>
      <w:pPr>
        <w:spacing w:line="580" w:lineRule="exact" w:before="0" w:after="0"/>
        <w:ind w:left="0" w:right="0" w:firstLine="640"/>
        <w:jc w:val="both"/>
      </w:pPr>
      <w:r>
        <w:rPr>
          <w:rFonts w:ascii="Times New Roman" w:hAnsi="Times New Roman" w:eastAsia="仿宋_GB2312" w:cs="Times New Roman"/>
          <w:sz w:val="32"/>
          <w:color w:val="000000"/>
        </w:rPr>
        <w:t>对具备条件的合作事项，各方根据资源条件、专业优势和实施需要协商确定牵头单位，共同编制数据产品说明、数据服务方案或者场景服务方案，将合作意向转化为可执行安排。</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重点内容：</w:t>
      </w:r>
      <w:r>
        <w:rPr>
          <w:rFonts w:ascii="Times New Roman" w:hAnsi="Times New Roman" w:eastAsia="仿宋_GB2312" w:cs="Times New Roman"/>
          <w:sz w:val="32"/>
          <w:color w:val="000000"/>
        </w:rPr>
        <w:t>明确服务对象、产品内容、资源来源、权利依据、访问和成果交付方式、部署环境、数据处理方式、服务周期、安全边界、服务等级、计量单位、价格机制、责任分工、实施里程碑、验收要求和转入正式运营条件。</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阶段成果：</w:t>
      </w:r>
      <w:r>
        <w:rPr>
          <w:rFonts w:ascii="Times New Roman" w:hAnsi="Times New Roman" w:eastAsia="仿宋_GB2312" w:cs="Times New Roman"/>
          <w:sz w:val="32"/>
          <w:color w:val="000000"/>
        </w:rPr>
        <w:t>形成产品说明或者场景服务方案、技术接入与交付方案、数据安全和权利说明、客户报价与收益分配测算、责任矩阵、试点验收指标和正式运营条件，并按照各方内部程序完成必要协议和合同确认。</w:t>
      </w:r>
    </w:p>
    <w:p>
      <w:pPr>
        <w:pStyle w:val="4"/>
        <w:keepNext/>
        <w:spacing w:line="580" w:lineRule="exact" w:before="0" w:after="0"/>
        <w:ind w:left="0" w:right="0" w:firstLine="0"/>
        <w:jc w:val="left"/>
      </w:pPr>
      <w:r>
        <w:rPr>
          <w:rFonts w:ascii="Times New Roman" w:hAnsi="Times New Roman" w:eastAsia="黑体" w:cs="Times New Roman"/>
          <w:sz w:val="32"/>
          <w:color w:val="000000"/>
        </w:rPr>
        <w:t>五、试点验证</w:t>
      </w:r>
    </w:p>
    <w:p>
      <w:pPr>
        <w:spacing w:line="580" w:lineRule="exact" w:before="0" w:after="0"/>
        <w:ind w:left="0" w:right="0" w:firstLine="640"/>
        <w:jc w:val="both"/>
      </w:pPr>
      <w:r>
        <w:rPr>
          <w:rFonts w:ascii="Times New Roman" w:hAnsi="Times New Roman" w:eastAsia="仿宋_GB2312" w:cs="Times New Roman"/>
          <w:sz w:val="32"/>
          <w:color w:val="000000"/>
        </w:rPr>
        <w:t>首期试点在真实条件下同步验证客户价值、产品质量、技术路径、安全边界、商务价格、计量结算和持续责任。试点采用可追溯、可授权、可更新的真实资源，由明确需求单位和业务人员实际使用，并留存调用、交付、质量、客户验收、成本、价格和问题整改记录。</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重点内容：</w:t>
      </w:r>
      <w:r>
        <w:rPr>
          <w:rFonts w:ascii="Times New Roman" w:hAnsi="Times New Roman" w:eastAsia="仿宋_GB2312" w:cs="Times New Roman"/>
          <w:sz w:val="32"/>
          <w:color w:val="000000"/>
        </w:rPr>
        <w:t>在控制范围和明确责任的条件下，验证客户业务成果、数据和模型质量、服务稳定性、授权执行、计量规则、价格接受度以及合作各方持续服务能力。</w:t>
      </w:r>
    </w:p>
    <w:p>
      <w:pPr>
        <w:pStyle w:val="LeadBody"/>
        <w:spacing w:line="580" w:lineRule="exact" w:before="0" w:after="0"/>
        <w:ind w:left="0" w:right="0" w:firstLine="0"/>
        <w:jc w:val="both"/>
      </w:pPr>
      <w:r>
        <w:rPr>
          <w:rFonts w:ascii="Times New Roman" w:hAnsi="Times New Roman" w:eastAsia="仿宋_GB2312" w:cs="Times New Roman"/>
          <w:b/>
          <w:sz w:val="32"/>
          <w:color w:val="000000"/>
        </w:rPr>
        <w:t>阶段成果：</w:t>
      </w:r>
      <w:r>
        <w:rPr>
          <w:rFonts w:ascii="Times New Roman" w:hAnsi="Times New Roman" w:eastAsia="仿宋_GB2312" w:cs="Times New Roman"/>
          <w:sz w:val="32"/>
          <w:color w:val="000000"/>
        </w:rPr>
        <w:t>形成客户使用与验收记录、服务调用和计量记录、质量与服务等级记录、成本和价格验证结果、安全合规验证结果及试点评估报告，并据此作出转入正式运营、优化后再次验证、暂停投入或者终止的决策。</w:t>
      </w:r>
    </w:p>
    <w:p>
      <w:pPr>
        <w:pStyle w:val="4"/>
        <w:keepNext/>
        <w:spacing w:line="580" w:lineRule="exact" w:before="0" w:after="0"/>
        <w:ind w:left="0" w:right="0" w:firstLine="0"/>
        <w:jc w:val="left"/>
      </w:pPr>
      <w:r>
        <w:rPr>
          <w:rFonts w:ascii="Times New Roman" w:hAnsi="Times New Roman" w:eastAsia="黑体" w:cs="Times New Roman"/>
          <w:sz w:val="32"/>
          <w:color w:val="000000"/>
        </w:rPr>
        <w:t>六、正式运营与复制推广</w:t>
      </w:r>
    </w:p>
    <w:p>
      <w:pPr>
        <w:spacing w:line="580" w:lineRule="exact" w:before="0" w:after="0"/>
        <w:ind w:left="0" w:right="0" w:firstLine="640"/>
        <w:jc w:val="both"/>
      </w:pPr>
      <w:r>
        <w:rPr>
          <w:rFonts w:ascii="Times New Roman" w:hAnsi="Times New Roman" w:eastAsia="仿宋_GB2312" w:cs="Times New Roman"/>
          <w:sz w:val="32"/>
          <w:color w:val="000000"/>
        </w:rPr>
        <w:t>试点通过后，先完成产品和场景标准化定型，再纳入统一运营体系，并通过经营复盘和复制推广形成规模化能力。正式运营前原则上完成一次完整的订单、合同授权、服务权益配置、技术交付、客户验收、计量账单和合作伙伴结算验证。</w:t>
      </w:r>
    </w:p>
    <w:p>
      <w:pPr>
        <w:pStyle w:val="LeadBody"/>
        <w:spacing w:line="580" w:lineRule="exact" w:before="0" w:after="0"/>
        <w:ind w:left="0" w:right="0" w:firstLine="0"/>
        <w:jc w:val="both"/>
      </w:pPr>
      <w:r>
        <w:rPr>
          <w:rFonts w:ascii="Times New Roman" w:hAnsi="Times New Roman" w:eastAsia="仿宋_GB2312" w:cs="Times New Roman"/>
          <w:b/>
          <w:sz w:val="32"/>
          <w:color w:val="000000"/>
        </w:rPr>
        <w:t>标准化定型：</w:t>
      </w:r>
      <w:r>
        <w:rPr>
          <w:rFonts w:ascii="Times New Roman" w:hAnsi="Times New Roman" w:eastAsia="仿宋_GB2312" w:cs="Times New Roman"/>
          <w:sz w:val="32"/>
          <w:color w:val="000000"/>
        </w:rPr>
        <w:t>数据产品和服务明确版本、服务范围、数据口径、更新频率、服务等级、价格方式和客户使用规则；场景服务形成业务目标、资源清单、模型组件、实施流程、验收指标和运营安排，并固化接口规范、配置参数、实施清单和报价边界。</w:t>
      </w:r>
    </w:p>
    <w:p>
      <w:pPr>
        <w:pStyle w:val="LeadBody"/>
        <w:spacing w:line="580" w:lineRule="exact" w:before="0" w:after="0"/>
        <w:ind w:left="0" w:right="0" w:firstLine="0"/>
        <w:jc w:val="both"/>
      </w:pPr>
      <w:r>
        <w:rPr>
          <w:rFonts w:ascii="Times New Roman" w:hAnsi="Times New Roman" w:eastAsia="仿宋_GB2312" w:cs="Times New Roman"/>
          <w:b/>
          <w:sz w:val="32"/>
          <w:color w:val="000000"/>
        </w:rPr>
        <w:t>持续运营：</w:t>
      </w:r>
      <w:r>
        <w:rPr>
          <w:rFonts w:ascii="Times New Roman" w:hAnsi="Times New Roman" w:eastAsia="仿宋_GB2312" w:cs="Times New Roman"/>
          <w:sz w:val="32"/>
          <w:color w:val="000000"/>
        </w:rPr>
        <w:t>纳入统一目录、产品发布、版本管理、客户需求对接、产品推介、订单管理、续约增购、客户服务、计量结算和质量评价体系，持续跟踪服务可用性、客户反馈、成本收益、合作履约和安全合规情况。</w:t>
      </w:r>
    </w:p>
    <w:p>
      <w:pPr>
        <w:pStyle w:val="LeadBody"/>
        <w:spacing w:line="580" w:lineRule="exact" w:before="0" w:after="0"/>
        <w:ind w:left="0" w:right="0" w:firstLine="0"/>
        <w:jc w:val="both"/>
      </w:pPr>
      <w:r>
        <w:rPr>
          <w:rFonts w:ascii="Times New Roman" w:hAnsi="Times New Roman" w:eastAsia="仿宋_GB2312" w:cs="Times New Roman"/>
          <w:b/>
          <w:sz w:val="32"/>
          <w:color w:val="000000"/>
        </w:rPr>
        <w:t>复制推广：</w:t>
      </w:r>
      <w:r>
        <w:rPr>
          <w:rFonts w:ascii="Times New Roman" w:hAnsi="Times New Roman" w:eastAsia="仿宋_GB2312" w:cs="Times New Roman"/>
          <w:sz w:val="32"/>
          <w:color w:val="000000"/>
        </w:rPr>
        <w:t>中电联根据需要组织行业成果发布、示范推广和生态合作；中电联数智公司会同合作伙伴开展客户拓展、续约增购和复制实施，推动形成持续订单和规模化服务能力。</w:t>
      </w:r>
    </w:p>
    <w:p>
      <w:pPr>
        <w:spacing w:line="580" w:lineRule="exact" w:before="0" w:after="0"/>
        <w:ind w:left="0" w:right="0" w:firstLine="640"/>
        <w:jc w:val="both"/>
      </w:pPr>
      <w:r>
        <w:rPr>
          <w:rFonts w:ascii="Times New Roman" w:hAnsi="Times New Roman" w:eastAsia="仿宋_GB2312" w:cs="Times New Roman"/>
          <w:sz w:val="32"/>
          <w:color w:val="000000"/>
        </w:rPr>
        <w:t>各项合作按照成熟一项、推进一项的原则组织实施。具体合作内容、实施周期、责任分工、商务条件和权益安排，由中电联数智公司与相关合作伙伴通过合作协议、产品协议或者专项项目合同予以明确。</w:t>
      </w:r>
    </w:p>
    <w:p>
      <w:pPr>
        <w:pStyle w:val="3"/>
        <w:keepNext/>
        <w:pageBreakBefore/>
        <w:spacing w:line="580" w:lineRule="exact" w:before="0" w:after="0"/>
        <w:ind w:left="0" w:right="0" w:firstLine="0"/>
        <w:jc w:val="center"/>
      </w:pPr>
      <w:r>
        <w:rPr>
          <w:rFonts w:ascii="Times New Roman" w:hAnsi="Times New Roman" w:eastAsia="方正小标宋简体" w:cs="Times New Roman"/>
          <w:sz w:val="32"/>
          <w:color w:val="000000"/>
        </w:rPr>
        <w:t>结束语</w:t>
      </w:r>
    </w:p>
    <w:p>
      <w:pPr>
        <w:spacing w:line="580" w:lineRule="exact" w:before="0" w:after="0"/>
        <w:ind w:left="0" w:right="0" w:firstLine="640"/>
        <w:jc w:val="both"/>
      </w:pPr>
      <w:r>
        <w:rPr>
          <w:rFonts w:ascii="Times New Roman" w:hAnsi="Times New Roman" w:eastAsia="仿宋_GB2312" w:cs="Times New Roman"/>
          <w:sz w:val="32"/>
          <w:color w:val="000000"/>
        </w:rPr>
        <w:t>电力领域数据基础设施是连接行业数据资源、专业能力和应用需求的重要行业平台。中电联将充分发挥行业组织、专业资源、会员生态和平台运营优势，持续完善电力数据要素流通利用、数据产品开发和行业服务运营体系，推动数据资源和专业能力更好服务国家战略、行业发展和企业需求。</w:t>
      </w:r>
    </w:p>
    <w:p>
      <w:pPr>
        <w:spacing w:line="580" w:lineRule="exact" w:before="0" w:after="0"/>
        <w:ind w:left="0" w:right="0" w:firstLine="640"/>
        <w:jc w:val="both"/>
      </w:pPr>
      <w:r>
        <w:rPr>
          <w:rFonts w:ascii="Times New Roman" w:hAnsi="Times New Roman" w:eastAsia="仿宋_GB2312" w:cs="Times New Roman"/>
          <w:sz w:val="32"/>
          <w:color w:val="000000"/>
        </w:rPr>
        <w:t>诚邀电力企业、能源企业、科研院所、高等院校、数字科技企业、数据服务机构、技术服务机构及相关生态伙伴参与平台合作，将优质数据、知识、模型、技术和场景能力接入电力领域数据基础设施，共同开发可持续运营的数据服务产品，共同建设可复制推广的高价值应用场景，共同培育开放协同、安全可信、互利共赢的行业服务生态，推动电力数据要素价值充分释放。</w:t>
      </w:r>
    </w:p>
    <w:sectPr>
      <w:headerReference r:id="rId19" w:type="first"/>
      <w:footerReference r:id="rId22" w:type="first"/>
      <w:headerReference r:id="rId17" w:type="default"/>
      <w:footerReference r:id="rId20" w:type="default"/>
      <w:headerReference r:id="rId18" w:type="even"/>
      <w:footerReference r:id="rId21" w:type="even"/>
      <w:pgSz w:w="11906" w:h="16838"/>
      <w:pgMar w:top="2098" w:right="1474" w:bottom="1984" w:left="1587" w:header="850" w:footer="397" w:gutter="0"/>
      <w:pgNumType w:fmt="decimal" w:start="1"/>
      <w:cols w:space="720" w:num="1"/>
      <w:formProt w:val="0"/>
      <w:docGrid w:type="lines" w:linePitch="580" w:charSpace="0"/>
    </w:sectPr>
    <w:p w14:paraId="2A5087C8">
      <w:pPr>
        <w:pStyle w:val="3"/>
        <w:keepNext/>
        <w:pageBreakBefore/>
        <w:spacing w:line="580" w:lineRule="exact" w:before="0" w:after="0"/>
        <w:ind w:left="0" w:right="0" w:firstLine="0"/>
        <w:jc w:val="center"/>
      </w:pPr>
      <w:bookmarkStart w:id="60" w:name="_Toc15319"/>
      <w:bookmarkStart w:id="61" w:name="_Toc31430"/>
      <w:r>
        <w:rPr>
          <w:rFonts w:ascii="Times New Roman" w:hAnsi="Times New Roman" w:eastAsia="方正小标宋简体" w:cs="Times New Roman"/>
          <w:sz w:val="32"/>
          <w:color w:val="000000"/>
        </w:rPr>
        <w:t>附件一　合作伙伴资源与能力登记要点</w:t>
      </w:r>
      <w:bookmarkEnd w:id="60"/>
      <w:bookmarkEnd w:id="61"/>
    </w:p>
    <w:p w14:paraId="73D3BFC1">
      <w:pPr>
        <w:spacing w:line="580" w:lineRule="exact" w:before="0" w:after="0"/>
        <w:ind w:left="0" w:right="0" w:firstLine="640"/>
        <w:jc w:val="both"/>
      </w:pPr>
      <w:r>
        <w:rPr>
          <w:rFonts w:ascii="Times New Roman" w:hAnsi="Times New Roman" w:eastAsia="仿宋_GB2312" w:cs="Times New Roman"/>
          <w:sz w:val="32"/>
          <w:color w:val="000000"/>
        </w:rPr>
        <w:t>合作伙伴提出合作意向时，结合合作类型、资源特点和安全要求提供相关信息。</w:t>
      </w:r>
    </w:p>
    <w:p w14:paraId="346D8D4F">
      <w:pPr>
        <w:pStyle w:val="176"/>
        <w:spacing w:line="580" w:lineRule="exact" w:before="0" w:after="0"/>
        <w:ind w:left="0" w:right="0" w:firstLine="640"/>
        <w:jc w:val="both"/>
      </w:pPr>
      <w:r>
        <w:rPr>
          <w:rFonts w:ascii="Times New Roman" w:hAnsi="Times New Roman" w:eastAsia="仿宋_GB2312" w:cs="Times New Roman"/>
          <w:sz w:val="32"/>
          <w:color w:val="000000"/>
        </w:rPr>
        <w:t>一是主体基本信息。包括单位名称、统一社会信用代码、单位性质、所属行业、主要业务、联系人和联系方式，以及拟参与的数据资源、模型算法、专业服务、技术实施、需求应用或者市场渠道等合作类型。</w:t>
      </w:r>
    </w:p>
    <w:p w14:paraId="5F20A665">
      <w:pPr>
        <w:pStyle w:val="176"/>
        <w:spacing w:line="580" w:lineRule="exact" w:before="0" w:after="0"/>
        <w:ind w:left="0" w:right="0" w:firstLine="640"/>
        <w:jc w:val="both"/>
      </w:pPr>
      <w:r>
        <w:rPr>
          <w:rFonts w:ascii="Times New Roman" w:hAnsi="Times New Roman" w:eastAsia="仿宋_GB2312" w:cs="Times New Roman"/>
          <w:sz w:val="32"/>
          <w:color w:val="000000"/>
        </w:rPr>
        <w:t>二是资源和权利信息。说明数据、知识、模型、算法、软件和解决方案的名称、主要内容、来源、权利主体、持有依据、对外提供权限、允许用途、限制条件、数据级别、个人信息和第三方权利情况。</w:t>
      </w:r>
    </w:p>
    <w:p w14:paraId="23FEF8A0">
      <w:pPr>
        <w:pStyle w:val="176"/>
        <w:spacing w:line="580" w:lineRule="exact" w:before="0" w:after="0"/>
        <w:ind w:left="0" w:right="0" w:firstLine="640"/>
        <w:jc w:val="both"/>
      </w:pPr>
      <w:r>
        <w:rPr>
          <w:rFonts w:ascii="Times New Roman" w:hAnsi="Times New Roman" w:eastAsia="仿宋_GB2312" w:cs="Times New Roman"/>
          <w:sz w:val="32"/>
          <w:color w:val="000000"/>
        </w:rPr>
        <w:t>三是质量和版本信息。说明资源覆盖范围、数据规模、准确性、完整性、一致性、更新频率、版本管理、质量检测、模型性能、适用条件和既有应用情况。</w:t>
      </w:r>
    </w:p>
    <w:p w14:paraId="7C182556">
      <w:pPr>
        <w:pStyle w:val="176"/>
        <w:spacing w:line="580" w:lineRule="exact" w:before="0" w:after="0"/>
        <w:ind w:left="0" w:right="0" w:firstLine="640"/>
        <w:jc w:val="both"/>
      </w:pPr>
      <w:r>
        <w:rPr>
          <w:rFonts w:ascii="Times New Roman" w:hAnsi="Times New Roman" w:eastAsia="仿宋_GB2312" w:cs="Times New Roman"/>
          <w:sz w:val="32"/>
          <w:color w:val="000000"/>
        </w:rPr>
        <w:t>四是技术和安全信息。说明技术接口、部署环境、连接方式、访问控制、加密脱敏、隐私保护、输出控制、日志审计、容灾备份和安全事件处置能力。</w:t>
      </w:r>
    </w:p>
    <w:p w14:paraId="4AD705AD">
      <w:pPr>
        <w:pStyle w:val="176"/>
        <w:spacing w:line="580" w:lineRule="exact" w:before="0" w:after="0"/>
        <w:ind w:left="0" w:right="0" w:firstLine="640"/>
        <w:jc w:val="both"/>
      </w:pPr>
      <w:r>
        <w:rPr>
          <w:rFonts w:ascii="Times New Roman" w:hAnsi="Times New Roman" w:eastAsia="仿宋_GB2312" w:cs="Times New Roman"/>
          <w:sz w:val="32"/>
          <w:color w:val="000000"/>
        </w:rPr>
        <w:t>五是服务保障信息。说明专业团队、客户支持、持续更新、接口维护、故障响应、服务时间、服务等级、版本兼容和持续运营能力。</w:t>
      </w:r>
    </w:p>
    <w:p w14:paraId="38F84BCB">
      <w:pPr>
        <w:pStyle w:val="176"/>
        <w:spacing w:line="580" w:lineRule="exact" w:before="0" w:after="0"/>
        <w:ind w:left="0" w:right="0" w:firstLine="640"/>
        <w:jc w:val="both"/>
      </w:pPr>
      <w:r>
        <w:rPr>
          <w:rFonts w:ascii="Times New Roman" w:hAnsi="Times New Roman" w:eastAsia="仿宋_GB2312" w:cs="Times New Roman"/>
          <w:sz w:val="32"/>
          <w:color w:val="000000"/>
        </w:rPr>
        <w:t>六是合作意向信息。说明拟解决的业务问题、拟合作产品或者场景、目标客户、期望合作方式、可投入资源、预期推进周期、商务考虑以及需要平台提供的支持。</w:t>
      </w:r>
    </w:p>
    <w:p w14:paraId="5B9B4E3E">
      <w:pPr>
        <w:pStyle w:val="176"/>
        <w:spacing w:line="580" w:lineRule="exact" w:before="0" w:after="0"/>
        <w:ind w:left="0" w:right="0" w:firstLine="640"/>
        <w:jc w:val="both"/>
      </w:pPr>
      <w:r>
        <w:rPr>
          <w:rFonts w:ascii="Times New Roman" w:hAnsi="Times New Roman" w:eastAsia="仿宋_GB2312" w:cs="Times New Roman"/>
          <w:sz w:val="32"/>
          <w:color w:val="000000"/>
        </w:rPr>
        <w:t>七是市场与案例信息。说明已有客户、典型案例、实际应用成效、目标客户类型、现有报价方式或者运营模式，以及可用于市场交流的脱敏案例材料。</w:t>
      </w:r>
    </w:p>
    <w:p w14:paraId="47AAD303">
      <w:pPr>
        <w:pStyle w:val="176"/>
        <w:spacing w:line="580" w:lineRule="exact" w:before="0" w:after="0"/>
        <w:ind w:left="0" w:right="0" w:firstLine="640"/>
        <w:jc w:val="both"/>
      </w:pPr>
      <w:r>
        <w:rPr>
          <w:rFonts w:ascii="Times New Roman" w:hAnsi="Times New Roman" w:eastAsia="仿宋_GB2312" w:cs="Times New Roman"/>
          <w:sz w:val="32"/>
          <w:color w:val="000000"/>
        </w:rPr>
        <w:t>八是首期合作计划。说明拟优先推进的一至两项产品或者场景、首期目标客户、拟投入的前期对接和运营资源、预期形成的阶段成果及需要中电联数智公司协调的事项。</w:t>
      </w:r>
    </w:p>
    <w:p w14:paraId="64B9704D">
      <w:pPr>
        <w:pStyle w:val="3"/>
        <w:keepNext/>
        <w:pageBreakBefore/>
        <w:spacing w:line="580" w:lineRule="exact" w:before="0" w:after="0"/>
        <w:ind w:left="0" w:right="0" w:firstLine="0"/>
        <w:jc w:val="center"/>
      </w:pPr>
      <w:bookmarkStart w:id="62" w:name="_Toc27838"/>
      <w:bookmarkStart w:id="63" w:name="_Toc29551"/>
      <w:r>
        <w:rPr>
          <w:rFonts w:ascii="Times New Roman" w:hAnsi="Times New Roman" w:eastAsia="方正小标宋简体" w:cs="Times New Roman"/>
          <w:sz w:val="32"/>
          <w:color w:val="000000"/>
        </w:rPr>
        <w:t>附件二　产品及场景服务说明要点</w:t>
      </w:r>
      <w:bookmarkEnd w:id="62"/>
      <w:bookmarkEnd w:id="63"/>
    </w:p>
    <w:p w14:paraId="1F0F01B8">
      <w:pPr>
        <w:spacing w:line="580" w:lineRule="exact" w:before="0" w:after="0"/>
        <w:ind w:left="0" w:right="0" w:firstLine="640"/>
        <w:jc w:val="both"/>
      </w:pPr>
      <w:r>
        <w:rPr>
          <w:rFonts w:ascii="Times New Roman" w:hAnsi="Times New Roman" w:eastAsia="仿宋_GB2312" w:cs="Times New Roman"/>
          <w:sz w:val="32"/>
          <w:color w:val="000000"/>
        </w:rPr>
        <w:t>数据产品、数据服务和场景服务原则上形成规范说明，作为产品立项、合作洽谈、平台准入、技术实施、商务报价、客户订购、授权执行、计量结算和服务评价的共同依据。</w:t>
      </w:r>
    </w:p>
    <w:p w14:paraId="552DCEBC">
      <w:pPr>
        <w:pStyle w:val="176"/>
        <w:spacing w:line="580" w:lineRule="exact" w:before="0" w:after="0"/>
        <w:ind w:left="0" w:right="0" w:firstLine="640"/>
        <w:jc w:val="both"/>
      </w:pPr>
      <w:r>
        <w:rPr>
          <w:rFonts w:ascii="Times New Roman" w:hAnsi="Times New Roman" w:eastAsia="仿宋_GB2312" w:cs="Times New Roman"/>
          <w:sz w:val="32"/>
          <w:color w:val="000000"/>
        </w:rPr>
        <w:t>一是基本信息。包括产品或者场景名称、唯一编码、服务类型、提供单位、运营单位、责任人、目标客户、应用领域、主要内容、核心价值和当前成熟度。</w:t>
      </w:r>
    </w:p>
    <w:p w14:paraId="2E270C21">
      <w:pPr>
        <w:pStyle w:val="176"/>
        <w:spacing w:line="580" w:lineRule="exact" w:before="0" w:after="0"/>
        <w:ind w:left="0" w:right="0" w:firstLine="640"/>
        <w:jc w:val="both"/>
      </w:pPr>
      <w:r>
        <w:rPr>
          <w:rFonts w:ascii="Times New Roman" w:hAnsi="Times New Roman" w:eastAsia="仿宋_GB2312" w:cs="Times New Roman"/>
          <w:sz w:val="32"/>
          <w:color w:val="000000"/>
        </w:rPr>
        <w:t>二是资源和权利信息。包括数据、知识、模型和算法来源，权利依据，内容范围，数据级别，允许用途，禁止用途，授权期限，客户范围，衍生成果归属和二次使用条件。</w:t>
      </w:r>
    </w:p>
    <w:p w14:paraId="3D63BB16">
      <w:pPr>
        <w:pStyle w:val="176"/>
        <w:spacing w:line="580" w:lineRule="exact" w:before="0" w:after="0"/>
        <w:ind w:left="0" w:right="0" w:firstLine="640"/>
        <w:jc w:val="both"/>
      </w:pPr>
      <w:r>
        <w:rPr>
          <w:rFonts w:ascii="Times New Roman" w:hAnsi="Times New Roman" w:eastAsia="仿宋_GB2312" w:cs="Times New Roman"/>
          <w:sz w:val="32"/>
          <w:color w:val="000000"/>
        </w:rPr>
        <w:t>三是服务规格信息。包括产品版本、服务范围、数据口径、更新频率、用户数量、调用额度、性能容量、客户支持和版本兼容要求。</w:t>
      </w:r>
    </w:p>
    <w:p w14:paraId="5454985E">
      <w:pPr>
        <w:pStyle w:val="176"/>
        <w:spacing w:line="580" w:lineRule="exact" w:before="0" w:after="0"/>
        <w:ind w:left="0" w:right="0" w:firstLine="640"/>
        <w:jc w:val="both"/>
      </w:pPr>
      <w:r>
        <w:rPr>
          <w:rFonts w:ascii="Times New Roman" w:hAnsi="Times New Roman" w:eastAsia="仿宋_GB2312" w:cs="Times New Roman"/>
          <w:sz w:val="32"/>
          <w:color w:val="000000"/>
        </w:rPr>
        <w:t>四是访问与成果交付信息。明确客户通过接口、服务网关或者业务系统调用服务，或者按照授权获得数据集、指标结果、知识内容、模型结果和分析成果，并说明下载、输出和再使用条件。</w:t>
      </w:r>
    </w:p>
    <w:p w14:paraId="0C1533E2">
      <w:pPr>
        <w:pStyle w:val="176"/>
        <w:spacing w:line="580" w:lineRule="exact" w:before="0" w:after="0"/>
        <w:ind w:left="0" w:right="0" w:firstLine="640"/>
        <w:jc w:val="both"/>
      </w:pPr>
      <w:r>
        <w:rPr>
          <w:rFonts w:ascii="Times New Roman" w:hAnsi="Times New Roman" w:eastAsia="仿宋_GB2312" w:cs="Times New Roman"/>
          <w:sz w:val="32"/>
          <w:color w:val="000000"/>
        </w:rPr>
        <w:t>五是部署与处理信息。明确采用平台共享环境、专属实例环境或者客户私有环境，以及平台受控处理、源端单方处理或者多方留域联合计算等方式；不同维度根据项目需要组合确定。</w:t>
      </w:r>
    </w:p>
    <w:p w14:paraId="54940873">
      <w:pPr>
        <w:pStyle w:val="176"/>
        <w:spacing w:line="580" w:lineRule="exact" w:before="0" w:after="0"/>
        <w:ind w:left="0" w:right="0" w:firstLine="640"/>
        <w:jc w:val="both"/>
      </w:pPr>
      <w:r>
        <w:rPr>
          <w:rFonts w:ascii="Times New Roman" w:hAnsi="Times New Roman" w:eastAsia="仿宋_GB2312" w:cs="Times New Roman"/>
          <w:sz w:val="32"/>
          <w:color w:val="000000"/>
        </w:rPr>
        <w:t>六是服务周期和服务等级信息。明确单次交付、周期更新或者持续运营安排，以及服务时间、可用性、响应时效、并发能力、更新频率、故障处理、备份恢复和服务补偿。</w:t>
      </w:r>
    </w:p>
    <w:p w14:paraId="6EE4884B">
      <w:pPr>
        <w:pStyle w:val="176"/>
        <w:spacing w:line="580" w:lineRule="exact" w:before="0" w:after="0"/>
        <w:ind w:left="0" w:right="0" w:firstLine="640"/>
        <w:jc w:val="both"/>
      </w:pPr>
      <w:r>
        <w:rPr>
          <w:rFonts w:ascii="Times New Roman" w:hAnsi="Times New Roman" w:eastAsia="仿宋_GB2312" w:cs="Times New Roman"/>
          <w:sz w:val="32"/>
          <w:color w:val="000000"/>
        </w:rPr>
        <w:t>七是授权和服务权益信息。包括使用主体、使用目的、服务范围、调用额度、有效期限、输出限制、下载条件、再使用条件和授权变更撤销规则。</w:t>
      </w:r>
    </w:p>
    <w:p w14:paraId="6A8BDEC5">
      <w:pPr>
        <w:pStyle w:val="176"/>
        <w:spacing w:line="580" w:lineRule="exact" w:before="0" w:after="0"/>
        <w:ind w:left="0" w:right="0" w:firstLine="640"/>
        <w:jc w:val="both"/>
      </w:pPr>
      <w:r>
        <w:rPr>
          <w:rFonts w:ascii="Times New Roman" w:hAnsi="Times New Roman" w:eastAsia="仿宋_GB2312" w:cs="Times New Roman"/>
          <w:sz w:val="32"/>
          <w:color w:val="000000"/>
        </w:rPr>
        <w:t>八是计量和商务信息。包括有效计量事件、计量单位、客户报价构成、服务产品价格、实施部署费用、客户成交价、平台运营收入、合作伙伴结算基础、可分配收入和成本扣除口径、客户来源、付款节点、折扣权限和价格变更规则。</w:t>
      </w:r>
    </w:p>
    <w:p w14:paraId="0147C086">
      <w:pPr>
        <w:pStyle w:val="176"/>
        <w:spacing w:line="580" w:lineRule="exact" w:before="0" w:after="0"/>
        <w:ind w:left="0" w:right="0" w:firstLine="640"/>
        <w:jc w:val="both"/>
      </w:pPr>
      <w:r>
        <w:rPr>
          <w:rFonts w:ascii="Times New Roman" w:hAnsi="Times New Roman" w:eastAsia="仿宋_GB2312" w:cs="Times New Roman"/>
          <w:sz w:val="32"/>
          <w:color w:val="000000"/>
        </w:rPr>
        <w:t>九是安全和退出信息。包括分类分级、访问控制、加密脱敏、隐私保护、输出控制、审计方式、保密责任、变更管理、续约、产品暂停下架、数据删除和合作终止安排。</w:t>
      </w:r>
    </w:p>
    <w:p w14:paraId="7A5C8426">
      <w:pPr>
        <w:pStyle w:val="176"/>
        <w:spacing w:line="580" w:lineRule="exact" w:before="0" w:after="0"/>
        <w:ind w:left="0" w:right="0" w:firstLine="640"/>
        <w:jc w:val="both"/>
      </w:pPr>
      <w:r>
        <w:rPr>
          <w:rFonts w:ascii="Times New Roman" w:hAnsi="Times New Roman" w:eastAsia="仿宋_GB2312" w:cs="Times New Roman"/>
          <w:sz w:val="32"/>
          <w:color w:val="000000"/>
        </w:rPr>
        <w:t>十是场景专项信息。场景服务还应明确业务目标，标准型、配置型或者定制型分类，联合主体，职责分工，实施里程碑，数据和模型需求，交付成果，试运行，验收指标，运营期安排，标准化范围和复制推广条件。</w:t>
      </w:r>
    </w:p>
    <w:p w14:paraId="7E136D36">
      <w:pPr>
        <w:pStyle w:val="176"/>
        <w:spacing w:line="580" w:lineRule="exact" w:before="0" w:after="0"/>
        <w:ind w:left="0" w:right="0" w:firstLine="640"/>
        <w:jc w:val="both"/>
      </w:pPr>
      <w:r>
        <w:rPr>
          <w:rFonts w:ascii="Times New Roman" w:hAnsi="Times New Roman" w:eastAsia="仿宋_GB2312" w:cs="Times New Roman"/>
          <w:sz w:val="32"/>
          <w:color w:val="000000"/>
        </w:rPr>
        <w:t>十一是客户与市场信息。说明客户核心需求、业务应用价值、典型使用方式、需求来源、客户采购条件、前期对接和交付责任、续约责任及市场推广支持安排。</w:t>
      </w:r>
    </w:p>
    <w:p w14:paraId="3FAE8392">
      <w:pPr>
        <w:pStyle w:val="176"/>
        <w:spacing w:line="580" w:lineRule="exact" w:before="0" w:after="0"/>
        <w:ind w:left="0" w:right="0" w:firstLine="640"/>
        <w:jc w:val="both"/>
      </w:pPr>
      <w:r>
        <w:rPr>
          <w:rFonts w:ascii="Times New Roman" w:hAnsi="Times New Roman" w:eastAsia="仿宋_GB2312" w:cs="Times New Roman"/>
          <w:sz w:val="32"/>
          <w:color w:val="000000"/>
        </w:rPr>
        <w:t>十二是试用与异常处置信息。说明样例、试用或者验证安排，试用范围和期限，折扣和优惠条件，以及调用失败、交付延误、退款、服务补偿和客户投诉的处理原则。</w:t>
      </w:r>
    </w:p>
    <w:p w14:paraId="78CF274E">
      <w:pPr>
        <w:pStyle w:val="3"/>
        <w:keepNext/>
        <w:pageBreakBefore/>
        <w:spacing w:line="580" w:lineRule="exact" w:before="0" w:after="0"/>
        <w:ind w:left="0" w:right="0" w:firstLine="0"/>
        <w:jc w:val="center"/>
      </w:pPr>
      <w:bookmarkStart w:id="64" w:name="_Toc22649"/>
      <w:bookmarkStart w:id="65" w:name="_Toc29162"/>
      <w:r>
        <w:rPr>
          <w:rFonts w:ascii="Times New Roman" w:hAnsi="Times New Roman" w:eastAsia="方正小标宋简体" w:cs="Times New Roman"/>
          <w:sz w:val="32"/>
          <w:color w:val="000000"/>
        </w:rPr>
        <w:t>附件三　合作事项成熟度评估要点</w:t>
      </w:r>
      <w:bookmarkEnd w:id="64"/>
      <w:bookmarkEnd w:id="65"/>
    </w:p>
    <w:p w14:paraId="725CDDA9">
      <w:pPr>
        <w:spacing w:line="580" w:lineRule="exact" w:before="0" w:after="0"/>
        <w:ind w:left="0" w:right="0" w:firstLine="640"/>
        <w:jc w:val="both"/>
      </w:pPr>
      <w:r>
        <w:rPr>
          <w:rFonts w:ascii="Times New Roman" w:hAnsi="Times New Roman" w:eastAsia="仿宋_GB2312" w:cs="Times New Roman"/>
          <w:sz w:val="32"/>
          <w:color w:val="000000"/>
        </w:rPr>
        <w:t>合作事项进入实施方案编制和试点前，原则上开展成熟度评估，由合作各方共同确认需求、资源、权利、质量、技术、安全、商务和持续运营条件。依法应当履行的审批、评估或者备案程序按有关规定执行。</w:t>
      </w:r>
    </w:p>
    <w:p w14:paraId="28F39B09">
      <w:pPr>
        <w:pStyle w:val="176"/>
        <w:spacing w:line="580" w:lineRule="exact" w:before="0" w:after="0"/>
        <w:ind w:left="0" w:right="0" w:firstLine="640"/>
        <w:jc w:val="both"/>
      </w:pPr>
      <w:r>
        <w:rPr>
          <w:rFonts w:ascii="Times New Roman" w:hAnsi="Times New Roman" w:eastAsia="仿宋_GB2312" w:cs="Times New Roman"/>
          <w:sz w:val="32"/>
          <w:color w:val="000000"/>
        </w:rPr>
        <w:t>一是需求真实性。是否具有明确需求单位、业务负责人、使用对象和应用问题，是否能够说明现有方式的不足、预期成果和使用频次。</w:t>
      </w:r>
    </w:p>
    <w:p w14:paraId="482BDC14">
      <w:pPr>
        <w:pStyle w:val="176"/>
        <w:spacing w:line="580" w:lineRule="exact" w:before="0" w:after="0"/>
        <w:ind w:left="0" w:right="0" w:firstLine="640"/>
        <w:jc w:val="both"/>
      </w:pPr>
      <w:r>
        <w:rPr>
          <w:rFonts w:ascii="Times New Roman" w:hAnsi="Times New Roman" w:eastAsia="仿宋_GB2312" w:cs="Times New Roman"/>
          <w:sz w:val="32"/>
          <w:color w:val="000000"/>
        </w:rPr>
        <w:t>二是资源可用性。是否已经明确所需数据、知识、模型、专家和技术能力，资源是否可以持续提供，是否具备样例和技术验证条件。</w:t>
      </w:r>
    </w:p>
    <w:p w14:paraId="1A02F8A9">
      <w:pPr>
        <w:pStyle w:val="176"/>
        <w:spacing w:line="580" w:lineRule="exact" w:before="0" w:after="0"/>
        <w:ind w:left="0" w:right="0" w:firstLine="640"/>
        <w:jc w:val="both"/>
      </w:pPr>
      <w:r>
        <w:rPr>
          <w:rFonts w:ascii="Times New Roman" w:hAnsi="Times New Roman" w:eastAsia="仿宋_GB2312" w:cs="Times New Roman"/>
          <w:sz w:val="32"/>
          <w:color w:val="000000"/>
        </w:rPr>
        <w:t>三是权利清晰度。是否能够说明资源来源、权利主体、授权依据、第三方权利、允许用途、客户范围和二次使用条件。</w:t>
      </w:r>
    </w:p>
    <w:p w14:paraId="1D246D02">
      <w:pPr>
        <w:pStyle w:val="176"/>
        <w:spacing w:line="580" w:lineRule="exact" w:before="0" w:after="0"/>
        <w:ind w:left="0" w:right="0" w:firstLine="640"/>
        <w:jc w:val="both"/>
      </w:pPr>
      <w:r>
        <w:rPr>
          <w:rFonts w:ascii="Times New Roman" w:hAnsi="Times New Roman" w:eastAsia="仿宋_GB2312" w:cs="Times New Roman"/>
          <w:sz w:val="32"/>
          <w:color w:val="000000"/>
        </w:rPr>
        <w:t>四是质量成熟度。是否具备数据口径、质量检测、模型性能、版本更新、适用条件和问题整改机制，是否存在影响交付的重大质量缺陷。</w:t>
      </w:r>
    </w:p>
    <w:p w14:paraId="0CD7541A">
      <w:pPr>
        <w:pStyle w:val="176"/>
        <w:spacing w:line="580" w:lineRule="exact" w:before="0" w:after="0"/>
        <w:ind w:left="0" w:right="0" w:firstLine="640"/>
        <w:jc w:val="both"/>
      </w:pPr>
      <w:r>
        <w:rPr>
          <w:rFonts w:ascii="Times New Roman" w:hAnsi="Times New Roman" w:eastAsia="仿宋_GB2312" w:cs="Times New Roman"/>
          <w:sz w:val="32"/>
          <w:color w:val="000000"/>
        </w:rPr>
        <w:t>五是技术可行性。是否明确接入方式、部署环境、计算资源、接口适配、系统集成、性能容量和运维条件，是否具备稳定交付的技术基础。</w:t>
      </w:r>
    </w:p>
    <w:p w14:paraId="4471A7A7">
      <w:pPr>
        <w:pStyle w:val="176"/>
        <w:spacing w:line="580" w:lineRule="exact" w:before="0" w:after="0"/>
        <w:ind w:left="0" w:right="0" w:firstLine="640"/>
        <w:jc w:val="both"/>
      </w:pPr>
      <w:r>
        <w:rPr>
          <w:rFonts w:ascii="Times New Roman" w:hAnsi="Times New Roman" w:eastAsia="仿宋_GB2312" w:cs="Times New Roman"/>
          <w:sz w:val="32"/>
          <w:color w:val="000000"/>
        </w:rPr>
        <w:t>六是安全合规性。是否完成数据分类分级和风险初判，是否明确数据留域、访问控制、输出限制、日志审计、个人信息保护和安全事件处置要求。</w:t>
      </w:r>
    </w:p>
    <w:p w14:paraId="49FCC3A8">
      <w:pPr>
        <w:pStyle w:val="176"/>
        <w:spacing w:line="580" w:lineRule="exact" w:before="0" w:after="0"/>
        <w:ind w:left="0" w:right="0" w:firstLine="640"/>
        <w:jc w:val="both"/>
      </w:pPr>
      <w:r>
        <w:rPr>
          <w:rFonts w:ascii="Times New Roman" w:hAnsi="Times New Roman" w:eastAsia="仿宋_GB2312" w:cs="Times New Roman"/>
          <w:sz w:val="32"/>
          <w:color w:val="000000"/>
        </w:rPr>
        <w:t>七是商业可行性。是否存在明确采购主体和采购路径，客户是否具有初步价格接受度，客户报价构成、计量单位、直接成本、平台运营收入、合作伙伴结算、预计毛利和回款安排是否具备测算基础。</w:t>
      </w:r>
    </w:p>
    <w:p w14:paraId="283B54D6">
      <w:pPr>
        <w:pStyle w:val="176"/>
        <w:spacing w:line="580" w:lineRule="exact" w:before="0" w:after="0"/>
        <w:ind w:left="0" w:right="0" w:firstLine="640"/>
        <w:jc w:val="both"/>
      </w:pPr>
      <w:r>
        <w:rPr>
          <w:rFonts w:ascii="Times New Roman" w:hAnsi="Times New Roman" w:eastAsia="仿宋_GB2312" w:cs="Times New Roman"/>
          <w:sz w:val="32"/>
          <w:color w:val="000000"/>
        </w:rPr>
        <w:t>八是持续运营能力。是否明确数据更新、接口维护、模型升级、客户支持、运营人员和费用来源，合作各方是否能够长期履行服务责任。</w:t>
      </w:r>
    </w:p>
    <w:p w14:paraId="68DF3F7E">
      <w:pPr>
        <w:pStyle w:val="176"/>
        <w:spacing w:line="580" w:lineRule="exact" w:before="0" w:after="0"/>
        <w:ind w:left="0" w:right="0" w:firstLine="640"/>
        <w:jc w:val="both"/>
      </w:pPr>
      <w:r>
        <w:rPr>
          <w:rFonts w:ascii="Times New Roman" w:hAnsi="Times New Roman" w:eastAsia="仿宋_GB2312" w:cs="Times New Roman"/>
          <w:sz w:val="32"/>
          <w:color w:val="000000"/>
        </w:rPr>
        <w:t>九是复制推广价值。是否具有行业共性需求，产品和场景能否形成标准规格、配置参数、接口规范、实施清单和典型案例。</w:t>
      </w:r>
    </w:p>
    <w:p w14:paraId="7222875B">
      <w:pPr>
        <w:pStyle w:val="176"/>
        <w:spacing w:line="580" w:lineRule="exact" w:before="0" w:after="0"/>
        <w:ind w:left="0" w:right="0" w:firstLine="640"/>
        <w:jc w:val="both"/>
      </w:pPr>
      <w:r>
        <w:rPr>
          <w:rFonts w:ascii="Times New Roman" w:hAnsi="Times New Roman" w:eastAsia="仿宋_GB2312" w:cs="Times New Roman"/>
          <w:sz w:val="32"/>
          <w:color w:val="000000"/>
        </w:rPr>
        <w:t>十是综合评估结论。根据上述条件形成优先推进、补充条件后推进、继续储备或者暂不推进的结论，并明确缺口、责任人和计划完成时间。</w:t>
      </w:r>
    </w:p>
    <w:p w14:paraId="5F59B04F">
      <w:pPr>
        <w:pStyle w:val="3"/>
        <w:keepNext/>
        <w:pageBreakBefore/>
        <w:spacing w:line="580" w:lineRule="exact" w:before="0" w:after="0"/>
        <w:ind w:left="0" w:right="0" w:firstLine="0"/>
        <w:jc w:val="center"/>
      </w:pPr>
      <w:bookmarkStart w:id="66" w:name="_Toc17001"/>
      <w:bookmarkStart w:id="67" w:name="_Toc1412"/>
      <w:r>
        <w:rPr>
          <w:rFonts w:ascii="Times New Roman" w:hAnsi="Times New Roman" w:eastAsia="方正小标宋简体" w:cs="Times New Roman"/>
          <w:sz w:val="32"/>
          <w:color w:val="000000"/>
        </w:rPr>
        <w:t>附件四　试点实施与验收要点</w:t>
      </w:r>
      <w:bookmarkEnd w:id="66"/>
      <w:bookmarkEnd w:id="67"/>
    </w:p>
    <w:p w14:paraId="3390E4F4">
      <w:pPr>
        <w:spacing w:line="580" w:lineRule="exact" w:before="0" w:after="0"/>
        <w:ind w:left="0" w:right="0" w:firstLine="640"/>
        <w:jc w:val="both"/>
      </w:pPr>
      <w:r>
        <w:rPr>
          <w:rFonts w:ascii="Times New Roman" w:hAnsi="Times New Roman" w:eastAsia="仿宋_GB2312" w:cs="Times New Roman"/>
          <w:sz w:val="32"/>
          <w:color w:val="000000"/>
        </w:rPr>
        <w:t>试点重点验证产品或者场景的客户价值、技术路径、安全边界和持续运营条件，并控制实施范围、明确各方责任、完整保留过程证据。</w:t>
      </w:r>
    </w:p>
    <w:p w14:paraId="0A3E69E7">
      <w:pPr>
        <w:pStyle w:val="176"/>
        <w:spacing w:line="580" w:lineRule="exact" w:before="0" w:after="0"/>
        <w:ind w:left="0" w:right="0" w:firstLine="640"/>
        <w:jc w:val="both"/>
      </w:pPr>
      <w:r>
        <w:rPr>
          <w:rFonts w:ascii="Times New Roman" w:hAnsi="Times New Roman" w:eastAsia="仿宋_GB2312" w:cs="Times New Roman"/>
          <w:sz w:val="32"/>
          <w:color w:val="000000"/>
        </w:rPr>
        <w:t>一是试点基本信息。明确试点名称、需求单位、参与主体、业务负责人、实施周期、试点范围、预期成果和决策机制。</w:t>
      </w:r>
    </w:p>
    <w:p w14:paraId="34942F14">
      <w:pPr>
        <w:pStyle w:val="176"/>
        <w:spacing w:line="580" w:lineRule="exact" w:before="0" w:after="0"/>
        <w:ind w:left="0" w:right="0" w:firstLine="640"/>
        <w:jc w:val="both"/>
      </w:pPr>
      <w:r>
        <w:rPr>
          <w:rFonts w:ascii="Times New Roman" w:hAnsi="Times New Roman" w:eastAsia="仿宋_GB2312" w:cs="Times New Roman"/>
          <w:sz w:val="32"/>
          <w:color w:val="000000"/>
        </w:rPr>
        <w:t>二是试点资源范围。明确使用的数据、知识、模型、算法、系统、算力和专家资源，说明来源、版本、权限、更新和使用限制。</w:t>
      </w:r>
    </w:p>
    <w:p w14:paraId="0D4A08E4">
      <w:pPr>
        <w:pStyle w:val="176"/>
        <w:spacing w:line="580" w:lineRule="exact" w:before="0" w:after="0"/>
        <w:ind w:left="0" w:right="0" w:firstLine="640"/>
        <w:jc w:val="both"/>
      </w:pPr>
      <w:r>
        <w:rPr>
          <w:rFonts w:ascii="Times New Roman" w:hAnsi="Times New Roman" w:eastAsia="仿宋_GB2312" w:cs="Times New Roman"/>
          <w:sz w:val="32"/>
          <w:color w:val="000000"/>
        </w:rPr>
        <w:t>三是技术实施内容。明确连接器、接口、模型实例、数据空间、受控计算环境或者应用系统的接入和配置任务，以及性能、容量、运维和故障处理要求。</w:t>
      </w:r>
    </w:p>
    <w:p w14:paraId="6C80AB4C">
      <w:pPr>
        <w:pStyle w:val="176"/>
        <w:spacing w:line="580" w:lineRule="exact" w:before="0" w:after="0"/>
        <w:ind w:left="0" w:right="0" w:firstLine="640"/>
        <w:jc w:val="both"/>
      </w:pPr>
      <w:r>
        <w:rPr>
          <w:rFonts w:ascii="Times New Roman" w:hAnsi="Times New Roman" w:eastAsia="仿宋_GB2312" w:cs="Times New Roman"/>
          <w:sz w:val="32"/>
          <w:color w:val="000000"/>
        </w:rPr>
        <w:t>四是安全和权利条件。明确数据分类分级、授权主体、使用目的、访问范围、输出限制、日志审计、数据删除、保密和安全事件处置要求。</w:t>
      </w:r>
    </w:p>
    <w:p w14:paraId="52A33DD0">
      <w:pPr>
        <w:pStyle w:val="176"/>
        <w:spacing w:line="580" w:lineRule="exact" w:before="0" w:after="0"/>
        <w:ind w:left="0" w:right="0" w:firstLine="640"/>
        <w:jc w:val="both"/>
      </w:pPr>
      <w:r>
        <w:rPr>
          <w:rFonts w:ascii="Times New Roman" w:hAnsi="Times New Roman" w:eastAsia="仿宋_GB2312" w:cs="Times New Roman"/>
          <w:sz w:val="32"/>
          <w:color w:val="000000"/>
        </w:rPr>
        <w:t>五是客户使用安排。明确试点用户、使用频次、调用额度、操作培训、客户支持、意见反馈和成果确认方式。</w:t>
      </w:r>
    </w:p>
    <w:p w14:paraId="6DDC9090">
      <w:pPr>
        <w:pStyle w:val="176"/>
        <w:spacing w:line="580" w:lineRule="exact" w:before="0" w:after="0"/>
        <w:ind w:left="0" w:right="0" w:firstLine="640"/>
        <w:jc w:val="both"/>
      </w:pPr>
      <w:r>
        <w:rPr>
          <w:rFonts w:ascii="Times New Roman" w:hAnsi="Times New Roman" w:eastAsia="仿宋_GB2312" w:cs="Times New Roman"/>
          <w:sz w:val="32"/>
          <w:color w:val="000000"/>
        </w:rPr>
        <w:t>六是业务验收指标。根据场景明确效率提升、准确性改善、风险识别、成本降低、管理优化、科研教学效果或者其他可验证成果。</w:t>
      </w:r>
    </w:p>
    <w:p w14:paraId="09FDF755">
      <w:pPr>
        <w:pStyle w:val="176"/>
        <w:spacing w:line="580" w:lineRule="exact" w:before="0" w:after="0"/>
        <w:ind w:left="0" w:right="0" w:firstLine="640"/>
        <w:jc w:val="both"/>
      </w:pPr>
      <w:r>
        <w:rPr>
          <w:rFonts w:ascii="Times New Roman" w:hAnsi="Times New Roman" w:eastAsia="仿宋_GB2312" w:cs="Times New Roman"/>
          <w:sz w:val="32"/>
          <w:color w:val="000000"/>
        </w:rPr>
        <w:t>七是技术和服务指标。明确服务可用性、响应时效、接口成功率、数据质量、模型性能、版本稳定性和故障恢复要求。</w:t>
      </w:r>
    </w:p>
    <w:p w14:paraId="4629C41A">
      <w:pPr>
        <w:pStyle w:val="176"/>
        <w:spacing w:line="580" w:lineRule="exact" w:before="0" w:after="0"/>
        <w:ind w:left="0" w:right="0" w:firstLine="640"/>
        <w:jc w:val="both"/>
      </w:pPr>
      <w:r>
        <w:rPr>
          <w:rFonts w:ascii="Times New Roman" w:hAnsi="Times New Roman" w:eastAsia="仿宋_GB2312" w:cs="Times New Roman"/>
          <w:sz w:val="32"/>
          <w:color w:val="000000"/>
        </w:rPr>
        <w:t>八是计量和成本验证。记录调用、任务、数据量、算力、人员工时和成果交付，验证有效计量规则，分析客户报价、直接成本、平台运营收入、合作伙伴结算、毛利水平、价格接受度和现金流安排。</w:t>
      </w:r>
    </w:p>
    <w:p w14:paraId="50A6F1A7">
      <w:pPr>
        <w:pStyle w:val="176"/>
        <w:spacing w:line="580" w:lineRule="exact" w:before="0" w:after="0"/>
        <w:ind w:left="0" w:right="0" w:firstLine="640"/>
        <w:jc w:val="both"/>
      </w:pPr>
      <w:r>
        <w:rPr>
          <w:rFonts w:ascii="Times New Roman" w:hAnsi="Times New Roman" w:eastAsia="仿宋_GB2312" w:cs="Times New Roman"/>
          <w:sz w:val="32"/>
          <w:color w:val="000000"/>
        </w:rPr>
        <w:t>九是试点评估材料。形成客户使用和验收记录、服务计量记录、质量与服务等级记录、安全合规检查结果、成本价格分析和问题整改清单。</w:t>
      </w:r>
    </w:p>
    <w:p w14:paraId="11CE995F">
      <w:pPr>
        <w:pStyle w:val="176"/>
        <w:spacing w:line="580" w:lineRule="exact" w:before="0" w:after="0"/>
        <w:ind w:left="0" w:right="0" w:firstLine="640"/>
        <w:jc w:val="both"/>
      </w:pPr>
      <w:r>
        <w:rPr>
          <w:rFonts w:ascii="Times New Roman" w:hAnsi="Times New Roman" w:eastAsia="仿宋_GB2312" w:cs="Times New Roman"/>
          <w:sz w:val="32"/>
          <w:color w:val="000000"/>
        </w:rPr>
        <w:t>十是转运营决策。明确转入正式运营、优化后再次验证、暂停投入或者终止的结论，并说明正式运营所需产品版本、价格、合同、服务保障和推广安排。</w:t>
      </w:r>
    </w:p>
    <w:p w14:paraId="65994F37">
      <w:pPr>
        <w:pStyle w:val="3"/>
        <w:keepNext/>
        <w:pageBreakBefore/>
        <w:spacing w:line="580" w:lineRule="exact" w:before="0" w:after="0"/>
        <w:ind w:left="0" w:right="0" w:firstLine="0"/>
        <w:jc w:val="center"/>
      </w:pPr>
      <w:bookmarkStart w:id="68" w:name="_Toc17378"/>
      <w:bookmarkStart w:id="69" w:name="_Toc1095"/>
      <w:r>
        <w:rPr>
          <w:rFonts w:ascii="Times New Roman" w:hAnsi="Times New Roman" w:eastAsia="方正小标宋简体" w:cs="Times New Roman"/>
          <w:sz w:val="32"/>
          <w:color w:val="000000"/>
        </w:rPr>
        <w:t>附件五　服务计量、账单与结算要点</w:t>
      </w:r>
      <w:bookmarkEnd w:id="68"/>
      <w:bookmarkEnd w:id="69"/>
    </w:p>
    <w:p w14:paraId="190AFF2E">
      <w:pPr>
        <w:spacing w:line="580" w:lineRule="exact" w:before="0" w:after="0"/>
        <w:ind w:left="0" w:right="0" w:firstLine="640"/>
        <w:jc w:val="both"/>
      </w:pPr>
      <w:r>
        <w:rPr>
          <w:rFonts w:ascii="Times New Roman" w:hAnsi="Times New Roman" w:eastAsia="仿宋_GB2312" w:cs="Times New Roman"/>
          <w:sz w:val="32"/>
          <w:color w:val="000000"/>
        </w:rPr>
        <w:t>产品和场景在正式运营前应当统一明确计量对象、有效事件、客户确认、结算基础、分配方法和结算阶段，确保客户账单与合作伙伴结算依据一致。</w:t>
      </w:r>
    </w:p>
    <w:p w14:paraId="70F259E6">
      <w:pPr>
        <w:pStyle w:val="176"/>
        <w:spacing w:line="580" w:lineRule="exact" w:before="0" w:after="0"/>
        <w:ind w:left="0" w:right="0" w:firstLine="640"/>
        <w:jc w:val="both"/>
      </w:pPr>
      <w:r>
        <w:rPr>
          <w:rFonts w:ascii="Times New Roman" w:hAnsi="Times New Roman" w:eastAsia="仿宋_GB2312" w:cs="Times New Roman"/>
          <w:sz w:val="32"/>
          <w:color w:val="000000"/>
        </w:rPr>
        <w:t>一是计量对象。明确客户、产品、版本、订单、合同、授权、服务权益和交付结果之间的关联关系，保证每项计量对应具体业务依据。</w:t>
      </w:r>
    </w:p>
    <w:p w14:paraId="6CB336FB">
      <w:pPr>
        <w:pStyle w:val="176"/>
        <w:spacing w:line="580" w:lineRule="exact" w:before="0" w:after="0"/>
        <w:ind w:left="0" w:right="0" w:firstLine="640"/>
        <w:jc w:val="both"/>
      </w:pPr>
      <w:r>
        <w:rPr>
          <w:rFonts w:ascii="Times New Roman" w:hAnsi="Times New Roman" w:eastAsia="仿宋_GB2312" w:cs="Times New Roman"/>
          <w:sz w:val="32"/>
          <w:color w:val="000000"/>
        </w:rPr>
        <w:t>二是有效计量事件。明确接口成功调用、有效返回记录、数据集交付、模型任务完成、报告交付、监测周期完成或者场景里程碑完成的判定条件。</w:t>
      </w:r>
    </w:p>
    <w:p w14:paraId="64C570B1">
      <w:pPr>
        <w:pStyle w:val="176"/>
        <w:spacing w:line="580" w:lineRule="exact" w:before="0" w:after="0"/>
        <w:ind w:left="0" w:right="0" w:firstLine="640"/>
        <w:jc w:val="both"/>
      </w:pPr>
      <w:r>
        <w:rPr>
          <w:rFonts w:ascii="Times New Roman" w:hAnsi="Times New Roman" w:eastAsia="仿宋_GB2312" w:cs="Times New Roman"/>
          <w:sz w:val="32"/>
          <w:color w:val="000000"/>
        </w:rPr>
        <w:t>三是异常计量处理。明确调用失败、超时、重复请求、系统重试、部分交付、客户取消、测试调用和人工补录的认定和处理规则。</w:t>
      </w:r>
    </w:p>
    <w:p w14:paraId="3C4F3009">
      <w:pPr>
        <w:pStyle w:val="176"/>
        <w:spacing w:line="580" w:lineRule="exact" w:before="0" w:after="0"/>
        <w:ind w:left="0" w:right="0" w:firstLine="640"/>
        <w:jc w:val="both"/>
      </w:pPr>
      <w:r>
        <w:rPr>
          <w:rFonts w:ascii="Times New Roman" w:hAnsi="Times New Roman" w:eastAsia="仿宋_GB2312" w:cs="Times New Roman"/>
          <w:sz w:val="32"/>
          <w:color w:val="000000"/>
        </w:rPr>
        <w:t>四是试用和套餐规则。明确免费额度、试用期限、套餐包含量、超额调用、折扣条件、优惠承担主体和试用转正式服务的处理方式。</w:t>
      </w:r>
    </w:p>
    <w:p w14:paraId="27FA0229">
      <w:pPr>
        <w:pStyle w:val="176"/>
        <w:spacing w:line="580" w:lineRule="exact" w:before="0" w:after="0"/>
        <w:ind w:left="0" w:right="0" w:firstLine="640"/>
        <w:jc w:val="both"/>
      </w:pPr>
      <w:r>
        <w:rPr>
          <w:rFonts w:ascii="Times New Roman" w:hAnsi="Times New Roman" w:eastAsia="仿宋_GB2312" w:cs="Times New Roman"/>
          <w:sz w:val="32"/>
          <w:color w:val="000000"/>
        </w:rPr>
        <w:t>五是账单生成与客户确认。明确账单周期、账单内容、成果验收、客户确认方式、对账期限、差异复核、补计、冲销和人工确认流程。</w:t>
      </w:r>
    </w:p>
    <w:p w14:paraId="4B882931">
      <w:pPr>
        <w:pStyle w:val="176"/>
        <w:spacing w:line="580" w:lineRule="exact" w:before="0" w:after="0"/>
        <w:ind w:left="0" w:right="0" w:firstLine="640"/>
        <w:jc w:val="both"/>
      </w:pPr>
      <w:r>
        <w:rPr>
          <w:rFonts w:ascii="Times New Roman" w:hAnsi="Times New Roman" w:eastAsia="仿宋_GB2312" w:cs="Times New Roman"/>
          <w:sz w:val="32"/>
          <w:color w:val="000000"/>
        </w:rPr>
        <w:t>六是收入和成本口径。明确客户实际回款、税费、退款、服务补偿、云算力、第三方直接成本和专项交付成本的口径、扣除顺序及凭证要求，并明确不得直接扣除的非项目成本。</w:t>
      </w:r>
    </w:p>
    <w:p w14:paraId="31BCED20">
      <w:pPr>
        <w:pStyle w:val="176"/>
        <w:spacing w:line="580" w:lineRule="exact" w:before="0" w:after="0"/>
        <w:ind w:left="0" w:right="0" w:firstLine="640"/>
        <w:jc w:val="both"/>
      </w:pPr>
      <w:r>
        <w:rPr>
          <w:rFonts w:ascii="Times New Roman" w:hAnsi="Times New Roman" w:eastAsia="仿宋_GB2312" w:cs="Times New Roman"/>
          <w:sz w:val="32"/>
          <w:color w:val="000000"/>
        </w:rPr>
        <w:t>七是结算基础。根据产品和项目形态，选择固定价格或者供给方结算单价、可分配收入比例、里程碑和工作量或者成果结算等基础。</w:t>
      </w:r>
    </w:p>
    <w:p w14:paraId="209FBAB7">
      <w:pPr>
        <w:pStyle w:val="176"/>
        <w:spacing w:line="580" w:lineRule="exact" w:before="0" w:after="0"/>
        <w:ind w:left="0" w:right="0" w:firstLine="640"/>
        <w:jc w:val="both"/>
      </w:pPr>
      <w:r>
        <w:rPr>
          <w:rFonts w:ascii="Times New Roman" w:hAnsi="Times New Roman" w:eastAsia="仿宋_GB2312" w:cs="Times New Roman"/>
          <w:sz w:val="32"/>
          <w:color w:val="000000"/>
        </w:rPr>
        <w:t>八是比例确定方法。按照资源贡献、产品开发、客户获取与市场拓展、技术交付、平台运营、持续服务和风险责任协商确定比例；参与主体较多时，可以采用贡献评分形成比例测算依据。</w:t>
      </w:r>
    </w:p>
    <w:p w14:paraId="6B77E13F">
      <w:pPr>
        <w:pStyle w:val="176"/>
        <w:spacing w:line="580" w:lineRule="exact" w:before="0" w:after="0"/>
        <w:ind w:left="0" w:right="0" w:firstLine="640"/>
        <w:jc w:val="both"/>
      </w:pPr>
      <w:r>
        <w:rPr>
          <w:rFonts w:ascii="Times New Roman" w:hAnsi="Times New Roman" w:eastAsia="仿宋_GB2312" w:cs="Times New Roman"/>
          <w:sz w:val="32"/>
          <w:color w:val="000000"/>
        </w:rPr>
        <w:t>九是结算阶段。建设期按照工作包、里程碑、验收成果和实际投入执行；运营期按照年度运营、数据和模型使用、实际调用、客户服务和持续责任执行。建设期和运营期分别明确适用的结算基础、付款条件和发票要求。</w:t>
      </w:r>
    </w:p>
    <w:p w14:paraId="38826BDF">
      <w:pPr>
        <w:pStyle w:val="176"/>
        <w:spacing w:line="580" w:lineRule="exact" w:before="0" w:after="0"/>
        <w:ind w:left="0" w:right="0" w:firstLine="640"/>
        <w:jc w:val="both"/>
      </w:pPr>
      <w:r>
        <w:rPr>
          <w:rFonts w:ascii="Times New Roman" w:hAnsi="Times New Roman" w:eastAsia="仿宋_GB2312" w:cs="Times New Roman"/>
          <w:sz w:val="32"/>
          <w:color w:val="000000"/>
        </w:rPr>
        <w:t>十是坏账和退款处理。明确客户逾期、坏账、退款、客户补偿和合同解除对平台运营收入及合作伙伴结算的影响和分担方式。</w:t>
      </w:r>
    </w:p>
    <w:p w14:paraId="12D6D085">
      <w:pPr>
        <w:pStyle w:val="176"/>
        <w:spacing w:line="580" w:lineRule="exact" w:before="0" w:after="0"/>
        <w:ind w:left="0" w:right="0" w:firstLine="640"/>
        <w:jc w:val="both"/>
      </w:pPr>
      <w:r>
        <w:rPr>
          <w:rFonts w:ascii="Times New Roman" w:hAnsi="Times New Roman" w:eastAsia="仿宋_GB2312" w:cs="Times New Roman"/>
          <w:sz w:val="32"/>
          <w:color w:val="000000"/>
        </w:rPr>
        <w:t>十一是计量证据和审计。明确日志、交付凭证、客户验收、账单和结算资料的保存期限、访问权限和审计要求。</w:t>
      </w:r>
    </w:p>
    <w:p w14:paraId="3A415694">
      <w:pPr>
        <w:pStyle w:val="176"/>
        <w:spacing w:line="580" w:lineRule="exact" w:before="0" w:after="0"/>
        <w:ind w:left="0" w:right="0" w:firstLine="640"/>
        <w:jc w:val="both"/>
      </w:pPr>
      <w:r>
        <w:rPr>
          <w:rFonts w:ascii="Times New Roman" w:hAnsi="Times New Roman" w:eastAsia="仿宋_GB2312" w:cs="Times New Roman"/>
          <w:sz w:val="32"/>
          <w:color w:val="000000"/>
        </w:rPr>
        <w:t>十二是价格和规则变更。明确目录价格、最低成交价格、折扣权限、免费额度、计量单位、成本扣除、贡献权重和分配比例变更的协商、审批、版本管理和客户通知程序。</w:t>
      </w:r>
    </w:p>
    <w:p w14:paraId="674D529D">
      <w:pPr>
        <w:pStyle w:val="3"/>
        <w:keepNext/>
        <w:pageBreakBefore/>
        <w:spacing w:line="580" w:lineRule="exact" w:before="0" w:after="0"/>
        <w:ind w:left="0" w:right="0" w:firstLine="0"/>
        <w:jc w:val="center"/>
      </w:pPr>
      <w:bookmarkStart w:id="70" w:name="_Toc28041"/>
      <w:bookmarkStart w:id="71" w:name="_Toc26423"/>
      <w:r>
        <w:rPr>
          <w:rFonts w:ascii="Times New Roman" w:hAnsi="Times New Roman" w:eastAsia="方正小标宋简体" w:cs="Times New Roman"/>
          <w:sz w:val="32"/>
          <w:color w:val="000000"/>
        </w:rPr>
        <w:t>附件六　数据分类分级与交付方式适配要点</w:t>
      </w:r>
      <w:bookmarkEnd w:id="70"/>
      <w:bookmarkEnd w:id="71"/>
    </w:p>
    <w:p w14:paraId="3B926F02">
      <w:pPr>
        <w:spacing w:line="580" w:lineRule="exact" w:before="0" w:after="0"/>
        <w:ind w:left="0" w:right="0" w:firstLine="640"/>
        <w:jc w:val="both"/>
      </w:pPr>
      <w:r>
        <w:rPr>
          <w:rFonts w:ascii="Times New Roman" w:hAnsi="Times New Roman" w:eastAsia="仿宋_GB2312" w:cs="Times New Roman"/>
          <w:sz w:val="32"/>
          <w:color w:val="000000"/>
        </w:rPr>
        <w:t>合作事项应当根据数据重要性、个人权益影响、商业敏感程度、处理规模和使用场景，分别确定访问与成果交付方式、部署运行环境、数据处理方式和服务周期，并配置相应安全措施。各维度可以组合使用，具体要求以法律法规、主管部门规定和各方安全制度为准。</w:t>
      </w:r>
    </w:p>
    <w:p w14:paraId="0F1463B0">
      <w:pPr>
        <w:pStyle w:val="176"/>
        <w:spacing w:line="580" w:lineRule="exact" w:before="0" w:after="0"/>
        <w:ind w:left="0" w:right="0" w:firstLine="640"/>
        <w:jc w:val="both"/>
      </w:pPr>
      <w:r>
        <w:rPr>
          <w:rFonts w:ascii="Times New Roman" w:hAnsi="Times New Roman" w:eastAsia="仿宋_GB2312" w:cs="Times New Roman"/>
          <w:sz w:val="32"/>
          <w:color w:val="000000"/>
        </w:rPr>
        <w:t>一是访问与成果交付。根据授权范围选择接口调用或者成果交付，明确调用主体、服务范围、使用目的、调用额度、结果内容、下载条件、输出精度和再使用边界。</w:t>
      </w:r>
    </w:p>
    <w:p w14:paraId="2D4F71DE">
      <w:pPr>
        <w:pStyle w:val="176"/>
        <w:spacing w:line="580" w:lineRule="exact" w:before="0" w:after="0"/>
        <w:ind w:left="0" w:right="0" w:firstLine="640"/>
        <w:jc w:val="both"/>
      </w:pPr>
      <w:r>
        <w:rPr>
          <w:rFonts w:ascii="Times New Roman" w:hAnsi="Times New Roman" w:eastAsia="仿宋_GB2312" w:cs="Times New Roman"/>
          <w:sz w:val="32"/>
          <w:color w:val="000000"/>
        </w:rPr>
        <w:t>二是部署运行环境。平台共享环境适用于标准化服务；专属实例环境适用于隔离性、性能和连续性要求较高的服务；客户私有环境适用于集团级、敏感业务和长期运行场景，应明确软硬件边界、安装升级、运维权限、日志管理和漏洞修复责任。</w:t>
      </w:r>
    </w:p>
    <w:p w14:paraId="287372F9">
      <w:pPr>
        <w:pStyle w:val="176"/>
        <w:spacing w:line="580" w:lineRule="exact" w:before="0" w:after="0"/>
        <w:ind w:left="0" w:right="0" w:firstLine="640"/>
        <w:jc w:val="both"/>
      </w:pPr>
      <w:r>
        <w:rPr>
          <w:rFonts w:ascii="Times New Roman" w:hAnsi="Times New Roman" w:eastAsia="仿宋_GB2312" w:cs="Times New Roman"/>
          <w:sz w:val="32"/>
          <w:color w:val="000000"/>
        </w:rPr>
        <w:t>三是数据处理方式。平台受控处理适用于经授权进入约定环境的数据；源端单方处理由资源方在自身环境完成查询或者计算并返回结果；多方留域联合计算由多方原始数据分别留在各自控制域内，通过隐私保护计算、数据沙箱、可信执行环境或者联邦学习完成联合分析。</w:t>
      </w:r>
    </w:p>
    <w:p w14:paraId="530F192A">
      <w:pPr>
        <w:pStyle w:val="176"/>
        <w:spacing w:line="580" w:lineRule="exact" w:before="0" w:after="0"/>
        <w:ind w:left="0" w:right="0" w:firstLine="640"/>
        <w:jc w:val="both"/>
      </w:pPr>
      <w:r>
        <w:rPr>
          <w:rFonts w:ascii="Times New Roman" w:hAnsi="Times New Roman" w:eastAsia="仿宋_GB2312" w:cs="Times New Roman"/>
          <w:sz w:val="32"/>
          <w:color w:val="000000"/>
        </w:rPr>
        <w:t>四是一般数据和公开知识。权利清晰且风险较低的，可以采用平台共享环境、远程接口或者成果交付，并落实身份认证、授权、传输保护和日志记录。</w:t>
      </w:r>
    </w:p>
    <w:p w14:paraId="33F70BA5">
      <w:pPr>
        <w:pStyle w:val="176"/>
        <w:spacing w:line="580" w:lineRule="exact" w:before="0" w:after="0"/>
        <w:ind w:left="0" w:right="0" w:firstLine="640"/>
        <w:jc w:val="both"/>
      </w:pPr>
      <w:r>
        <w:rPr>
          <w:rFonts w:ascii="Times New Roman" w:hAnsi="Times New Roman" w:eastAsia="仿宋_GB2312" w:cs="Times New Roman"/>
          <w:sz w:val="32"/>
          <w:color w:val="000000"/>
        </w:rPr>
        <w:t>五是商业敏感性较高的数据。原则上限制客户、用途、范围和期限，优先采用源端处理、专属实例、客户私有环境或者结果输出，合理控制下载、批量导出、结果精度和再使用。</w:t>
      </w:r>
    </w:p>
    <w:p w14:paraId="62BF9092">
      <w:pPr>
        <w:pStyle w:val="176"/>
        <w:spacing w:line="580" w:lineRule="exact" w:before="0" w:after="0"/>
        <w:ind w:left="0" w:right="0" w:firstLine="640"/>
        <w:jc w:val="both"/>
      </w:pPr>
      <w:r>
        <w:rPr>
          <w:rFonts w:ascii="Times New Roman" w:hAnsi="Times New Roman" w:eastAsia="仿宋_GB2312" w:cs="Times New Roman"/>
          <w:sz w:val="32"/>
          <w:color w:val="000000"/>
        </w:rPr>
        <w:t>六是个人信息。遵循合法、正当、必要和最小范围原则，明确处理目的、处理方式、个人权益保护和授权依据，根据风险采取去标识化、脱敏、访问控制和个人信息保护影响评估等措施。</w:t>
      </w:r>
    </w:p>
    <w:p w14:paraId="2476B4D0">
      <w:pPr>
        <w:pStyle w:val="176"/>
        <w:spacing w:line="580" w:lineRule="exact" w:before="0" w:after="0"/>
        <w:ind w:left="0" w:right="0" w:firstLine="640"/>
        <w:jc w:val="both"/>
      </w:pPr>
      <w:r>
        <w:rPr>
          <w:rFonts w:ascii="Times New Roman" w:hAnsi="Times New Roman" w:eastAsia="仿宋_GB2312" w:cs="Times New Roman"/>
          <w:sz w:val="32"/>
          <w:color w:val="000000"/>
        </w:rPr>
        <w:t>七是能源行业重要数据。按照有关规定落实目录识别、风险评估、最小授权、共享调用监测、委托或者共同处理责任、日志审计和安全事件报告，原则上优先采用数据留域、受控计算和结果输出。</w:t>
      </w:r>
    </w:p>
    <w:p w14:paraId="4EDE7A12">
      <w:pPr>
        <w:pStyle w:val="176"/>
        <w:spacing w:line="580" w:lineRule="exact" w:before="0" w:after="0"/>
        <w:ind w:left="0" w:right="0" w:firstLine="640"/>
        <w:jc w:val="both"/>
      </w:pPr>
      <w:r>
        <w:rPr>
          <w:rFonts w:ascii="Times New Roman" w:hAnsi="Times New Roman" w:eastAsia="仿宋_GB2312" w:cs="Times New Roman"/>
          <w:sz w:val="32"/>
          <w:color w:val="000000"/>
        </w:rPr>
        <w:t>八是能源行业核心数据。落实高等级安全保护和严格的跨法人主体提供、转移、共享管理要求，相关合作履行必要评估和内部决策程序，未经确认不得纳入一般产品化服务。</w:t>
      </w:r>
    </w:p>
    <w:p w14:paraId="77FA8E0D">
      <w:pPr>
        <w:pStyle w:val="176"/>
        <w:spacing w:line="580" w:lineRule="exact" w:before="0" w:after="0"/>
        <w:ind w:left="0" w:right="0" w:firstLine="640"/>
        <w:jc w:val="both"/>
      </w:pPr>
      <w:r>
        <w:rPr>
          <w:rFonts w:ascii="Times New Roman" w:hAnsi="Times New Roman" w:eastAsia="仿宋_GB2312" w:cs="Times New Roman"/>
          <w:sz w:val="32"/>
          <w:color w:val="000000"/>
        </w:rPr>
        <w:t>九是模型和知识服务。对模型权重、训练数据、专属知识库和提示词实施隔离和权限控制，明确输入输出日志、版本回退、内容安全、结果校核和客户专属信息保护。</w:t>
      </w:r>
    </w:p>
    <w:p w14:paraId="4CBB9342">
      <w:pPr>
        <w:pStyle w:val="176"/>
        <w:spacing w:line="580" w:lineRule="exact" w:before="0" w:after="0"/>
        <w:ind w:left="0" w:right="0" w:firstLine="640"/>
        <w:jc w:val="both"/>
      </w:pPr>
      <w:r>
        <w:rPr>
          <w:rFonts w:ascii="Times New Roman" w:hAnsi="Times New Roman" w:eastAsia="仿宋_GB2312" w:cs="Times New Roman"/>
          <w:sz w:val="32"/>
          <w:color w:val="000000"/>
        </w:rPr>
        <w:t>十是服务周期和动态调整。根据业务需要确定单次交付、周期更新或者持续运营安排；数据内容、规模、精度、用途、客户范围或者安全环境发生变化时，重新评估分类分级、部署环境、处理方式和安全措施。</w:t>
      </w:r>
    </w:p>
    <w:p w14:paraId="716232E5">
      <w:pPr>
        <w:pStyle w:val="3"/>
        <w:keepNext/>
        <w:pageBreakBefore/>
        <w:spacing w:line="580" w:lineRule="exact" w:before="0" w:after="0"/>
        <w:ind w:left="0" w:right="0" w:firstLine="0"/>
        <w:jc w:val="center"/>
      </w:pPr>
      <w:bookmarkStart w:id="72" w:name="_Toc25233"/>
      <w:bookmarkStart w:id="73" w:name="_Toc15595"/>
      <w:r>
        <w:rPr>
          <w:rFonts w:ascii="Times New Roman" w:hAnsi="Times New Roman" w:eastAsia="方正小标宋简体" w:cs="Times New Roman"/>
          <w:sz w:val="32"/>
          <w:color w:val="000000"/>
        </w:rPr>
        <w:t>附件七　商务报价与收益分配参考模型</w:t>
      </w:r>
      <w:bookmarkEnd w:id="72"/>
      <w:bookmarkEnd w:id="73"/>
    </w:p>
    <w:p w14:paraId="7F2524C4">
      <w:pPr>
        <w:spacing w:line="580" w:lineRule="exact" w:before="0" w:after="0"/>
        <w:ind w:left="0" w:right="0" w:firstLine="640"/>
        <w:jc w:val="both"/>
      </w:pPr>
      <w:r>
        <w:rPr>
          <w:rFonts w:ascii="Times New Roman" w:hAnsi="Times New Roman" w:eastAsia="仿宋_GB2312" w:cs="Times New Roman"/>
          <w:sz w:val="32"/>
          <w:color w:val="000000"/>
        </w:rPr>
        <w:t>平台不设置统一对外价格、固定服务费率或者固定分成比例。单项产品和场景根据客户采购条件、产品成熟度、资源稀缺性、各方实际投入和风险责任独立开展经营测算，具体商务安排履行必要的内部审批和合作确认程序。</w:t>
      </w:r>
    </w:p>
    <w:p w14:paraId="3E22A829">
      <w:pPr>
        <w:pStyle w:val="176"/>
        <w:spacing w:line="580" w:lineRule="exact" w:before="0" w:after="0"/>
        <w:ind w:left="0" w:right="0" w:firstLine="640"/>
        <w:jc w:val="both"/>
      </w:pPr>
      <w:r>
        <w:rPr>
          <w:rFonts w:ascii="Times New Roman" w:hAnsi="Times New Roman" w:eastAsia="仿宋_GB2312" w:cs="Times New Roman"/>
          <w:sz w:val="32"/>
          <w:color w:val="000000"/>
        </w:rPr>
        <w:t>一是客户报价基本公式。客户成交价可以按照“服务产品价格＋实施部署费用＋专属资源保障费用＋安全合规保障费用＋持续运营保障费用＋税费”组合形成。服务产品价格可以包含平台基础运营及支持、数据或者模型使用等内容；标准产品根据实际选择适用费用项，复杂场景分别测算服务产品、实施部署和运营保障费用。</w:t>
      </w:r>
    </w:p>
    <w:p w14:paraId="66AC3B1E">
      <w:pPr>
        <w:pStyle w:val="176"/>
        <w:spacing w:line="580" w:lineRule="exact" w:before="0" w:after="0"/>
        <w:ind w:left="0" w:right="0" w:firstLine="640"/>
        <w:jc w:val="both"/>
      </w:pPr>
      <w:r>
        <w:rPr>
          <w:rFonts w:ascii="Times New Roman" w:hAnsi="Times New Roman" w:eastAsia="仿宋_GB2312" w:cs="Times New Roman"/>
          <w:sz w:val="32"/>
          <w:color w:val="000000"/>
        </w:rPr>
        <w:t>二是数据接口服务参考模型。客户价格可以由年度基础价格、套餐调用额度、超额调用价格、并发或者性能保障价格和专属支持费用构成。合作伙伴已经具有成熟接口和稳定服务能力的，可以采用供给方结算单价，平台取得与产品运营、技术交付和客户服务相对应的运营收入。</w:t>
      </w:r>
    </w:p>
    <w:p w14:paraId="36C7BA73">
      <w:pPr>
        <w:pStyle w:val="176"/>
        <w:spacing w:line="580" w:lineRule="exact" w:before="0" w:after="0"/>
        <w:ind w:left="0" w:right="0" w:firstLine="640"/>
        <w:jc w:val="both"/>
      </w:pPr>
      <w:r>
        <w:rPr>
          <w:rFonts w:ascii="Times New Roman" w:hAnsi="Times New Roman" w:eastAsia="仿宋_GB2312" w:cs="Times New Roman"/>
          <w:sz w:val="32"/>
          <w:color w:val="000000"/>
        </w:rPr>
        <w:t>三是数据集与知识服务参考模型。客户价格可以由版本授权价格、年度更新价格、使用主体或者账户费用、专属加工费用和安全交付费用构成。报价应区分内部研究、业务系统应用、模型训练和对外服务等用途，并根据授权期限、主体范围、数据规模、更新频率和再使用条件设置差异化价格。</w:t>
      </w:r>
    </w:p>
    <w:p w14:paraId="03142A4F">
      <w:pPr>
        <w:pStyle w:val="176"/>
        <w:spacing w:line="580" w:lineRule="exact" w:before="0" w:after="0"/>
        <w:ind w:left="0" w:right="0" w:firstLine="640"/>
        <w:jc w:val="both"/>
      </w:pPr>
      <w:r>
        <w:rPr>
          <w:rFonts w:ascii="Times New Roman" w:hAnsi="Times New Roman" w:eastAsia="仿宋_GB2312" w:cs="Times New Roman"/>
          <w:sz w:val="32"/>
          <w:color w:val="000000"/>
        </w:rPr>
        <w:t>四是模型与智能服务参考模型。客户价格可以由模型或者知识服务授权价格、调用或者任务处理价格、专属实例费用、算力费用、模型适配或者微调费用和年度运维费用构成。涉及客户专属知识库、模型微调或者客户环境部署的，应当单独测算数据治理、训练评测、安全测试、升级维护和专属资源成本。</w:t>
      </w:r>
    </w:p>
    <w:p w14:paraId="1AFFF182">
      <w:pPr>
        <w:pStyle w:val="176"/>
        <w:spacing w:line="580" w:lineRule="exact" w:before="0" w:after="0"/>
        <w:ind w:left="0" w:right="0" w:firstLine="640"/>
        <w:jc w:val="both"/>
      </w:pPr>
      <w:r>
        <w:rPr>
          <w:rFonts w:ascii="Times New Roman" w:hAnsi="Times New Roman" w:eastAsia="仿宋_GB2312" w:cs="Times New Roman"/>
          <w:sz w:val="32"/>
          <w:color w:val="000000"/>
        </w:rPr>
        <w:t>五是监测与报告服务参考模型。客户价格可以按照监测对象、指标数量、成果频次、服务周期、专家参与和交付时效形成年度订阅或者成果包；需要专项研判、临时响应或者客户专属分析的，另行测算专业服务费用。</w:t>
      </w:r>
    </w:p>
    <w:p w14:paraId="56F911C0">
      <w:pPr>
        <w:pStyle w:val="176"/>
        <w:spacing w:line="580" w:lineRule="exact" w:before="0" w:after="0"/>
        <w:ind w:left="0" w:right="0" w:firstLine="640"/>
        <w:jc w:val="both"/>
      </w:pPr>
      <w:r>
        <w:rPr>
          <w:rFonts w:ascii="Times New Roman" w:hAnsi="Times New Roman" w:eastAsia="仿宋_GB2312" w:cs="Times New Roman"/>
          <w:sz w:val="32"/>
          <w:color w:val="000000"/>
        </w:rPr>
        <w:t>六是场景综合服务参考模型。服务产品价格按照业务目标、数据和模型使用、专业分析、持续服务和验收成果测算；接口适配、系统集成、数据治理、定制开发、私有化部署和专属资源等实施事项单独测算；运营期按照数据更新、模型运行、系统运维、安全保障、客户支持和专业分析等事项形成年度费用。</w:t>
      </w:r>
    </w:p>
    <w:p w14:paraId="492DF26D">
      <w:pPr>
        <w:pStyle w:val="176"/>
        <w:spacing w:line="580" w:lineRule="exact" w:before="0" w:after="0"/>
        <w:ind w:left="0" w:right="0" w:firstLine="640"/>
        <w:jc w:val="both"/>
      </w:pPr>
      <w:r>
        <w:rPr>
          <w:rFonts w:ascii="Times New Roman" w:hAnsi="Times New Roman" w:eastAsia="仿宋_GB2312" w:cs="Times New Roman"/>
          <w:sz w:val="32"/>
          <w:color w:val="000000"/>
        </w:rPr>
        <w:t>七是固定价格或者供给方结算单价。适用于成熟数据接口、标准数据集、已有模型和可以独立计量的专业服务。合作伙伴按照每次有效调用、每个查询对象、每个数据包、每项任务、每个授权周期或者每份成果获得约定结算收入；同时明确最低采购量、免费测试量、调用失败、版本升级和服务中断的处理规则。</w:t>
      </w:r>
    </w:p>
    <w:p w14:paraId="75721659">
      <w:pPr>
        <w:pStyle w:val="176"/>
        <w:spacing w:line="580" w:lineRule="exact" w:before="0" w:after="0"/>
        <w:ind w:left="0" w:right="0" w:firstLine="640"/>
        <w:jc w:val="both"/>
      </w:pPr>
      <w:r>
        <w:rPr>
          <w:rFonts w:ascii="Times New Roman" w:hAnsi="Times New Roman" w:eastAsia="仿宋_GB2312" w:cs="Times New Roman"/>
          <w:sz w:val="32"/>
          <w:color w:val="000000"/>
        </w:rPr>
        <w:t>八是可分配收入比例。适用于平台与合作伙伴共同投入形成的联合产品。可分配收入扣除经确认的税费、退款、客户补偿和直接成本后，按照协议约定比例分配。比例根据资源贡献、产品和模型开发、客户获取与市场拓展、平台运营与交付、持续服务和风险责任综合确定。</w:t>
      </w:r>
    </w:p>
    <w:p w14:paraId="0AABCAD5">
      <w:pPr>
        <w:pStyle w:val="176"/>
        <w:spacing w:line="580" w:lineRule="exact" w:before="0" w:after="0"/>
        <w:ind w:left="0" w:right="0" w:firstLine="640"/>
        <w:jc w:val="both"/>
      </w:pPr>
      <w:r>
        <w:rPr>
          <w:rFonts w:ascii="Times New Roman" w:hAnsi="Times New Roman" w:eastAsia="仿宋_GB2312" w:cs="Times New Roman"/>
          <w:sz w:val="32"/>
          <w:color w:val="000000"/>
        </w:rPr>
        <w:t>九是里程碑、工作量和成果结算。适用于场景建设、私有化部署、系统集成和定制开发。按照实施工作包、项目里程碑、实际工作量和客户验收成果分别确定采购或者结算价格，避免以单一比例覆盖不同实施责任。</w:t>
      </w:r>
    </w:p>
    <w:p w14:paraId="32EABDFD">
      <w:pPr>
        <w:pStyle w:val="176"/>
        <w:spacing w:line="580" w:lineRule="exact" w:before="0" w:after="0"/>
        <w:ind w:left="0" w:right="0" w:firstLine="640"/>
        <w:jc w:val="both"/>
      </w:pPr>
      <w:r>
        <w:rPr>
          <w:rFonts w:ascii="Times New Roman" w:hAnsi="Times New Roman" w:eastAsia="仿宋_GB2312" w:cs="Times New Roman"/>
          <w:sz w:val="32"/>
          <w:color w:val="000000"/>
        </w:rPr>
        <w:t>十是贡献评分方法。参与主体较多、投入结构复杂时，可以设置资源与核心能力、产品与模型开发、客户与市场、平台运营与交付、持续服务与风险责任等贡献维度，形成比例测算依据。贡献评分用于确定比例，不单独替代固定价格、收入比例或者里程碑等结算基础。</w:t>
      </w:r>
    </w:p>
    <w:p w14:paraId="484E163F">
      <w:pPr>
        <w:pStyle w:val="176"/>
        <w:spacing w:line="580" w:lineRule="exact" w:before="0" w:after="0"/>
        <w:ind w:left="0" w:right="0" w:firstLine="640"/>
        <w:jc w:val="both"/>
      </w:pPr>
      <w:r>
        <w:rPr>
          <w:rFonts w:ascii="Times New Roman" w:hAnsi="Times New Roman" w:eastAsia="仿宋_GB2312" w:cs="Times New Roman"/>
          <w:sz w:val="32"/>
          <w:color w:val="000000"/>
        </w:rPr>
        <w:t>十一是建设期和运营期安排。建设期按照工作包、里程碑、验收成果和实际投入执行结算；运营期根据数据持续更新、模型运维、平台运行、客户支持、专业服务和实际调用形成年度费用及分配安排。两个阶段分别选择适用的结算基础和付款条件。</w:t>
      </w:r>
    </w:p>
    <w:p w14:paraId="44061756">
      <w:pPr>
        <w:pStyle w:val="176"/>
        <w:spacing w:line="580" w:lineRule="exact" w:before="0" w:after="0"/>
        <w:ind w:left="0" w:right="0" w:firstLine="640"/>
        <w:jc w:val="both"/>
      </w:pPr>
      <w:r>
        <w:rPr>
          <w:rFonts w:ascii="Times New Roman" w:hAnsi="Times New Roman" w:eastAsia="仿宋_GB2312" w:cs="Times New Roman"/>
          <w:sz w:val="32"/>
          <w:color w:val="000000"/>
        </w:rPr>
        <w:t>十二是平台运营收入参考。对于合作伙伴已有成熟产品、平台承担产品标准化、技术接入、客户获取、服务交付、计量结算和持续客户服务的标准业务，内部测算可以将客户净收入的15%至25%作为平台运营收入参考区间。具体安排应当对应实际服务事项，不得脱离服务内容简单抽取固定比例。</w:t>
      </w:r>
    </w:p>
    <w:p w14:paraId="55C2AB72">
      <w:pPr>
        <w:pStyle w:val="176"/>
        <w:spacing w:line="580" w:lineRule="exact" w:before="0" w:after="0"/>
        <w:ind w:left="0" w:right="0" w:firstLine="640"/>
        <w:jc w:val="both"/>
      </w:pPr>
      <w:r>
        <w:rPr>
          <w:rFonts w:ascii="Times New Roman" w:hAnsi="Times New Roman" w:eastAsia="仿宋_GB2312" w:cs="Times New Roman"/>
          <w:sz w:val="32"/>
          <w:color w:val="000000"/>
        </w:rPr>
        <w:t>十三是客户和渠道贡献参考。客户由合作伙伴、专业部门、分支机构或者其他渠道主体引入，并由其承担较多售前、商务和持续维护工作的，可以单独设置客户获取或者渠道贡献。内部测算可以将可分配收入的5%至15%作为参考区间，并根据首次签约、续约增购、投标投入、客户维护和回款责任确定适用期限，避免与平台运营收入重复计价。</w:t>
      </w:r>
    </w:p>
    <w:p w14:paraId="4691D5B0">
      <w:pPr>
        <w:pStyle w:val="176"/>
        <w:spacing w:line="580" w:lineRule="exact" w:before="0" w:after="0"/>
        <w:ind w:left="0" w:right="0" w:firstLine="640"/>
        <w:jc w:val="both"/>
      </w:pPr>
      <w:r>
        <w:rPr>
          <w:rFonts w:ascii="Times New Roman" w:hAnsi="Times New Roman" w:eastAsia="仿宋_GB2312" w:cs="Times New Roman"/>
          <w:sz w:val="32"/>
          <w:color w:val="000000"/>
        </w:rPr>
        <w:t>十四是价格底线和审批参考。标准产品应当形成目录价格、合作伙伴结算基准、最低成交价格或者最低毛利要求。超出标准折扣、免费试用期限较长、需要较大前期投入、客户付款周期较长或者存在较高履约风险的，应当开展专项经营测算并履行审议程序。</w:t>
      </w:r>
    </w:p>
    <w:p w14:paraId="0FA8975F">
      <w:pPr>
        <w:pStyle w:val="176"/>
        <w:spacing w:line="580" w:lineRule="exact" w:before="0" w:after="0"/>
        <w:ind w:left="0" w:right="0" w:firstLine="640"/>
        <w:jc w:val="both"/>
      </w:pPr>
      <w:r>
        <w:rPr>
          <w:rFonts w:ascii="Times New Roman" w:hAnsi="Times New Roman" w:eastAsia="仿宋_GB2312" w:cs="Times New Roman"/>
          <w:sz w:val="32"/>
          <w:color w:val="000000"/>
        </w:rPr>
        <w:t>十五是标准数据接口测算示例。假设某标准数据接口年度客户实际回款为100万元，经合同确认可以扣除的税费、云资源和第三方直接成本合计10万元，合作伙伴按照有效调用和年度最低服务量结算70万元，则平台运营收入为20万元，约占客户净收入的22%。具体项目还应考虑客户折扣、免费额度、超额调用、服务补偿和坏账风险。</w:t>
      </w:r>
    </w:p>
    <w:p w14:paraId="744E849C">
      <w:pPr>
        <w:pStyle w:val="176"/>
        <w:spacing w:line="580" w:lineRule="exact" w:before="0" w:after="0"/>
        <w:ind w:left="0" w:right="0" w:firstLine="640"/>
        <w:jc w:val="both"/>
      </w:pPr>
      <w:r>
        <w:rPr>
          <w:rFonts w:ascii="Times New Roman" w:hAnsi="Times New Roman" w:eastAsia="仿宋_GB2312" w:cs="Times New Roman"/>
          <w:sz w:val="32"/>
          <w:color w:val="000000"/>
        </w:rPr>
        <w:t>十六是联合产品测算示例。假设某联合产品客户实际回款为100万元，税费、退款准备和直接成本合计10万元，可分配收入为90万元；各方可以按照资源与核心能力、产品与模型开发、客户与市场、平台运营与交付、持续服务与风险责任等贡献维度协商确定比例。同一主体承担多项责任的合并计算，最终以实际协议和履约评价为准。</w:t>
      </w:r>
    </w:p>
    <w:p w14:paraId="453DED34">
      <w:pPr>
        <w:pStyle w:val="176"/>
        <w:spacing w:line="580" w:lineRule="exact" w:before="0" w:after="0"/>
        <w:ind w:left="0" w:right="0" w:firstLine="640"/>
        <w:jc w:val="both"/>
      </w:pPr>
      <w:r>
        <w:rPr>
          <w:rFonts w:ascii="Times New Roman" w:hAnsi="Times New Roman" w:eastAsia="仿宋_GB2312" w:cs="Times New Roman"/>
          <w:sz w:val="32"/>
          <w:color w:val="000000"/>
        </w:rPr>
        <w:t>十七是场景服务测算示例。某场景建设期合同价格为200万元，可以按照数据治理、模型开发、系统集成、部署实施和项目管理等工作包分别结算；进入运营期后，年度服务价格为60万元，扣除6万元经确认的直接成本后形成54万元可分配收入，再根据数据和模型持续供应、平台运营、技术运维、专业服务和客户维护等实际责任确定分配。</w:t>
      </w:r>
    </w:p>
    <w:p w14:paraId="66005FD3">
      <w:pPr>
        <w:pStyle w:val="176"/>
        <w:spacing w:line="580" w:lineRule="exact" w:before="0" w:after="0"/>
        <w:ind w:left="0" w:right="0" w:firstLine="640"/>
        <w:jc w:val="both"/>
      </w:pPr>
      <w:r>
        <w:rPr>
          <w:rFonts w:ascii="Times New Roman" w:hAnsi="Times New Roman" w:eastAsia="仿宋_GB2312" w:cs="Times New Roman"/>
          <w:sz w:val="32"/>
          <w:color w:val="000000"/>
        </w:rPr>
        <w:t>十八是动态复盘。产品正式运营后，至少按年度复核客户获取成本、调用量、单位服务成本、服务质量、续约率、应收账款、平台毛利和合作伙伴履约情况。出现资源成本、客户需求、服务等级、模型或者数据版本、合作责任重大变化时，重新测算价格和分配安排，并履行协商和审批程序。</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Courier">
    <w:altName w:val="Courier New"/>
    <w:panose1 w:val="00000000000000000000"/>
    <w:charset w:val="00"/>
    <w:family w:val="roma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Liberation Sans">
    <w:altName w:val="Arial"/>
    <w:panose1 w:val="00000000000000000000"/>
    <w:charset w:val="00"/>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98WB-V"/>
    <w:panose1 w:val="00000000000000000000"/>
    <w:charset w:val="00"/>
    <w:family w:val="auto"/>
    <w:pitch w:val="default"/>
    <w:sig w:usb0="00000000" w:usb1="00000000" w:usb2="00000000" w:usb3="00000000" w:csb0="00000000" w:csb1="00000000"/>
  </w:font>
  <w:font w:name="Lohit Devanagari">
    <w:altName w:val="98WB-V"/>
    <w:panose1 w:val="00000000000000000000"/>
    <w:charset w:val="00"/>
    <w:family w:val="auto"/>
    <w:pitch w:val="default"/>
    <w:sig w:usb0="00000000" w:usb1="00000000" w:usb2="00000000" w:usb3="00000000" w:csb0="00000000" w:csb1="00000000"/>
  </w:font>
  <w:font w:name="楷体_GB2312">
    <w:panose1 w:val="02010609030101010101"/>
    <w:charset w:val="86"/>
    <w:family w:val="auto"/>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98WB-V">
    <w:panose1 w:val="02000500000000000000"/>
    <w:charset w:val="80"/>
    <w:family w:val="auto"/>
    <w:pitch w:val="default"/>
    <w:sig w:usb0="0000000F" w:usb1="3A000000" w:usb2="04000000" w:usb3="00000000" w:csb0="0002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3797C">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D3EB4">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BC51A">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AFEB8">
    <w:pP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D179D">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5EEDB">
    <w:pPr>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9F13B">
    <w:pPr>
      <w:pStyle w:val="24"/>
      <w:spacing w:before="0" w:after="0" w:line="320" w:lineRule="exact"/>
      <w:jc w:val="center"/>
    </w:pPr>
    <w:r>
      <w:rPr>
        <w:rFonts w:ascii="Times New Roman" w:hAnsi="Times New Roman" w:eastAsia="宋体" w:cs="Times New Roman"/>
        <w:sz w:val="28"/>
        <w:color w:val="000000"/>
      </w:rPr>
      <w:t xml:space="preserve">— </w:t>
    </w:r>
    <w:r>
      <w:rPr>
        <w:rFonts w:ascii="Times New Roman" w:hAnsi="Times New Roman" w:eastAsia="宋体" w:cs="Times New Roman"/>
        <w:sz w:val="28"/>
        <w:color w:val="000000"/>
      </w:rPr>
      <w:fldChar w:fldCharType="begin"/>
    </w:r>
    <w:r>
      <w:rPr>
        <w:rFonts w:ascii="Times New Roman" w:hAnsi="Times New Roman" w:eastAsia="宋体" w:cs="Times New Roman"/>
        <w:sz w:val="28"/>
        <w:color w:val="000000"/>
      </w:rPr>
      <w:instrText xml:space="preserve"> PAGE </w:instrText>
    </w:r>
    <w:r>
      <w:rPr>
        <w:rFonts w:ascii="Times New Roman" w:hAnsi="Times New Roman" w:eastAsia="宋体" w:cs="Times New Roman"/>
        <w:sz w:val="28"/>
        <w:color w:val="000000"/>
      </w:rPr>
      <w:fldChar w:fldCharType="separate"/>
    </w:r>
    <w:r>
      <w:rPr>
        <w:rFonts w:ascii="Times New Roman" w:hAnsi="Times New Roman" w:eastAsia="宋体" w:cs="Times New Roman"/>
        <w:sz w:val="28"/>
        <w:color w:val="000000"/>
      </w:rPr>
      <w:t>1</w:t>
    </w:r>
    <w:r>
      <w:rPr>
        <w:rFonts w:ascii="Times New Roman" w:hAnsi="Times New Roman" w:eastAsia="宋体" w:cs="Times New Roman"/>
        <w:sz w:val="28"/>
        <w:color w:val="000000"/>
      </w:rPr>
      <w:fldChar w:fldCharType="end"/>
    </w:r>
    <w:r>
      <w:rPr>
        <w:rFonts w:ascii="Times New Roman" w:hAnsi="Times New Roman" w:eastAsia="宋体" w:cs="Times New Roman"/>
        <w:sz w:val="28"/>
        <w:color w:val="000000"/>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B4403">
    <w:pPr>
      <w:pStyle w:val="24"/>
      <w:spacing w:before="0" w:after="0" w:line="320" w:lineRule="exact"/>
      <w:jc w:val="center"/>
    </w:pPr>
    <w:r>
      <w:rPr>
        <w:rFonts w:ascii="Times New Roman" w:hAnsi="Times New Roman" w:eastAsia="宋体" w:cs="Times New Roman"/>
        <w:sz w:val="28"/>
        <w:color w:val="000000"/>
      </w:rPr>
      <w:t xml:space="preserve">— </w:t>
    </w:r>
    <w:r>
      <w:rPr>
        <w:rFonts w:ascii="Times New Roman" w:hAnsi="Times New Roman" w:eastAsia="宋体" w:cs="Times New Roman"/>
        <w:sz w:val="28"/>
        <w:color w:val="000000"/>
      </w:rPr>
      <w:fldChar w:fldCharType="begin"/>
    </w:r>
    <w:r>
      <w:rPr>
        <w:rFonts w:ascii="Times New Roman" w:hAnsi="Times New Roman" w:eastAsia="宋体" w:cs="Times New Roman"/>
        <w:sz w:val="28"/>
        <w:color w:val="000000"/>
      </w:rPr>
      <w:instrText xml:space="preserve"> PAGE </w:instrText>
    </w:r>
    <w:r>
      <w:rPr>
        <w:rFonts w:ascii="Times New Roman" w:hAnsi="Times New Roman" w:eastAsia="宋体" w:cs="Times New Roman"/>
        <w:sz w:val="28"/>
        <w:color w:val="000000"/>
      </w:rPr>
      <w:fldChar w:fldCharType="separate"/>
    </w:r>
    <w:r>
      <w:rPr>
        <w:rFonts w:ascii="Times New Roman" w:hAnsi="Times New Roman" w:eastAsia="宋体" w:cs="Times New Roman"/>
        <w:sz w:val="28"/>
        <w:color w:val="000000"/>
      </w:rPr>
      <w:t>1</w:t>
    </w:r>
    <w:r>
      <w:rPr>
        <w:rFonts w:ascii="Times New Roman" w:hAnsi="Times New Roman" w:eastAsia="宋体" w:cs="Times New Roman"/>
        <w:sz w:val="28"/>
        <w:color w:val="000000"/>
      </w:rPr>
      <w:fldChar w:fldCharType="end"/>
    </w:r>
    <w:r>
      <w:rPr>
        <w:rFonts w:ascii="Times New Roman" w:hAnsi="Times New Roman" w:eastAsia="宋体" w:cs="Times New Roman"/>
        <w:sz w:val="28"/>
        <w:color w:val="000000"/>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ED8F7">
    <w:pPr>
      <w:pStyle w:val="24"/>
      <w:spacing w:before="0" w:after="0" w:line="320" w:lineRule="exact"/>
      <w:jc w:val="center"/>
    </w:pPr>
    <w:r>
      <w:rPr>
        <w:rFonts w:ascii="Times New Roman" w:hAnsi="Times New Roman" w:eastAsia="宋体" w:cs="Times New Roman"/>
        <w:sz w:val="28"/>
        <w:color w:val="000000"/>
      </w:rPr>
      <w:t xml:space="preserve">— </w:t>
    </w:r>
    <w:r>
      <w:rPr>
        <w:rFonts w:ascii="Times New Roman" w:hAnsi="Times New Roman" w:eastAsia="宋体" w:cs="Times New Roman"/>
        <w:sz w:val="28"/>
        <w:color w:val="000000"/>
      </w:rPr>
      <w:fldChar w:fldCharType="begin"/>
    </w:r>
    <w:r>
      <w:rPr>
        <w:rFonts w:ascii="Times New Roman" w:hAnsi="Times New Roman" w:eastAsia="宋体" w:cs="Times New Roman"/>
        <w:sz w:val="28"/>
        <w:color w:val="000000"/>
      </w:rPr>
      <w:instrText xml:space="preserve"> PAGE </w:instrText>
    </w:r>
    <w:r>
      <w:rPr>
        <w:rFonts w:ascii="Times New Roman" w:hAnsi="Times New Roman" w:eastAsia="宋体" w:cs="Times New Roman"/>
        <w:sz w:val="28"/>
        <w:color w:val="000000"/>
      </w:rPr>
      <w:fldChar w:fldCharType="separate"/>
    </w:r>
    <w:r>
      <w:rPr>
        <w:rFonts w:ascii="Times New Roman" w:hAnsi="Times New Roman" w:eastAsia="宋体" w:cs="Times New Roman"/>
        <w:sz w:val="28"/>
        <w:color w:val="000000"/>
      </w:rPr>
      <w:t>1</w:t>
    </w:r>
    <w:r>
      <w:rPr>
        <w:rFonts w:ascii="Times New Roman" w:hAnsi="Times New Roman" w:eastAsia="宋体" w:cs="Times New Roman"/>
        <w:sz w:val="28"/>
        <w:color w:val="000000"/>
      </w:rPr>
      <w:fldChar w:fldCharType="end"/>
    </w:r>
    <w:r>
      <w:rPr>
        <w:rFonts w:ascii="Times New Roman" w:hAnsi="Times New Roman" w:eastAsia="宋体" w:cs="Times New Roman"/>
        <w:sz w:val="28"/>
        <w:color w:val="00000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hyphenationZone w:val="0"/>
  <w:footnotePr>
    <w:footnote w:id="0"/>
    <w:footnote w:id="1"/>
  </w:footnotePr>
  <w:endnotePr>
    <w:endnote w:id="0"/>
    <w:endnote w:id="1"/>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CB7077"/>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0" w:line="580" w:lineRule="exact"/>
      <w:ind w:left="0" w:right="0" w:firstLine="640"/>
      <w:jc w:val="both"/>
    </w:pPr>
    <w:rPr>
      <w:rFonts w:ascii="Times New Roman" w:hAnsi="Times New Roman" w:eastAsia="仿宋_GB2312" w:cs="Times New Roman"/>
      <w:color w:val="000000"/>
      <w:kern w:val="0"/>
      <w:sz w:val="32"/>
      <w:szCs w:val="32"/>
      <w:lang w:val="en-US" w:eastAsia="zh-CN" w:bidi="ar-SA"/>
    </w:rPr>
  </w:style>
  <w:style w:type="paragraph" w:styleId="3">
    <w:name w:val="heading 1"/>
    <w:basedOn w:val="1"/>
    <w:next w:val="1"/>
    <w:link w:val="142"/>
    <w:qFormat/>
    <w:uiPriority w:val="9"/>
    <w:pPr>
      <w:keepNext/>
      <w:keepLines/>
      <w:pageBreakBefore/>
      <w:spacing w:before="0" w:after="0" w:line="580" w:lineRule="exact"/>
      <w:ind w:left="0" w:right="0" w:firstLine="0"/>
      <w:jc w:val="center"/>
      <w:outlineLvl w:val="0"/>
    </w:pPr>
    <w:rPr>
      <w:rFonts w:ascii="Times New Roman" w:hAnsi="Times New Roman" w:eastAsia="方正小标宋简体" w:cs="Times New Roman"/>
      <w:b w:val="0"/>
      <w:bCs/>
      <w:color w:val="000000"/>
      <w:sz w:val="32"/>
      <w:szCs w:val="32"/>
      <w:lang w:val="en-US" w:eastAsia="zh-CN"/>
    </w:rPr>
  </w:style>
  <w:style w:type="paragraph" w:styleId="4">
    <w:name w:val="heading 2"/>
    <w:basedOn w:val="1"/>
    <w:next w:val="1"/>
    <w:link w:val="143"/>
    <w:unhideWhenUsed/>
    <w:qFormat/>
    <w:uiPriority w:val="9"/>
    <w:pPr>
      <w:keepNext/>
      <w:keepLines/>
      <w:pageBreakBefore w:val="0"/>
      <w:spacing w:before="0" w:after="0" w:line="580" w:lineRule="exact"/>
      <w:ind w:left="0" w:right="0" w:firstLine="0"/>
      <w:jc w:val="left"/>
      <w:outlineLvl w:val="1"/>
    </w:pPr>
    <w:rPr>
      <w:rFonts w:ascii="Times New Roman" w:hAnsi="Times New Roman" w:eastAsia="黑体" w:cs="Times New Roman"/>
      <w:b w:val="0"/>
      <w:bCs/>
      <w:color w:val="000000"/>
      <w:sz w:val="32"/>
      <w:szCs w:val="32"/>
      <w:lang w:val="en-US" w:eastAsia="zh-CN"/>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6">
    <w:name w:val="Default Paragraph Font"/>
    <w:semiHidden/>
    <w:unhideWhenUsed/>
    <w:qFormat/>
    <w:uiPriority w:val="1"/>
    <w:rPr>
      <w:color w:val="000000"/>
    </w:rPr>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000000"/>
      <w:kern w:val="0"/>
      <w:sz w:val="20"/>
      <w:szCs w:val="20"/>
      <w:lang w:val="en-US" w:eastAsia="en-US" w:bidi="ar-SA"/>
    </w:rPr>
  </w:style>
  <w:style w:type="paragraph" w:styleId="12">
    <w:name w:val="List 3"/>
    <w:basedOn w:val="1"/>
    <w:unhideWhenUsed/>
    <w:qFormat/>
    <w:uiPriority w:val="99"/>
    <w:pPr>
      <w:spacing w:before="0" w:after="0"/>
      <w:ind w:left="1080" w:hanging="360"/>
      <w:contextualSpacing/>
    </w:pPr>
    <w:rPr>
      <w:color w:val="000000"/>
    </w:rPr>
  </w:style>
  <w:style w:type="paragraph" w:styleId="13">
    <w:name w:val="List Number 2"/>
    <w:basedOn w:val="1"/>
    <w:unhideWhenUsed/>
    <w:uiPriority w:val="99"/>
    <w:pPr>
      <w:numPr>
        <w:ilvl w:val="0"/>
        <w:numId w:val="1"/>
      </w:numPr>
      <w:spacing w:before="0" w:after="0"/>
      <w:contextualSpacing/>
    </w:pPr>
    <w:rPr>
      <w:color w:val="000000"/>
    </w:rPr>
  </w:style>
  <w:style w:type="paragraph" w:styleId="14">
    <w:name w:val="List Number"/>
    <w:basedOn w:val="1"/>
    <w:unhideWhenUsed/>
    <w:qFormat/>
    <w:uiPriority w:val="99"/>
    <w:pPr>
      <w:numPr>
        <w:ilvl w:val="0"/>
        <w:numId w:val="2"/>
      </w:numPr>
      <w:spacing w:before="0" w:after="0"/>
      <w:contextualSpacing/>
    </w:pPr>
    <w:rPr>
      <w:color w:val="000000"/>
    </w:rPr>
  </w:style>
  <w:style w:type="paragraph" w:styleId="15">
    <w:name w:val="caption"/>
    <w:basedOn w:val="1"/>
    <w:next w:val="1"/>
    <w:semiHidden/>
    <w:unhideWhenUsed/>
    <w:qFormat/>
    <w:uiPriority w:val="35"/>
    <w:pPr>
      <w:spacing w:line="240" w:lineRule="auto"/>
    </w:pPr>
    <w:rPr>
      <w:b/>
      <w:bCs/>
      <w:color w:val="000000"/>
      <w:sz w:val="18"/>
      <w:szCs w:val="18"/>
    </w:rPr>
  </w:style>
  <w:style w:type="paragraph" w:styleId="16">
    <w:name w:val="List Bullet"/>
    <w:basedOn w:val="1"/>
    <w:unhideWhenUsed/>
    <w:qFormat/>
    <w:uiPriority w:val="99"/>
    <w:pPr>
      <w:numPr>
        <w:ilvl w:val="0"/>
        <w:numId w:val="3"/>
      </w:numPr>
      <w:spacing w:before="0" w:after="0"/>
      <w:contextualSpacing/>
    </w:pPr>
    <w:rPr>
      <w:color w:val="000000"/>
    </w:rPr>
  </w:style>
  <w:style w:type="paragraph" w:styleId="17">
    <w:name w:val="Body Text 3"/>
    <w:basedOn w:val="1"/>
    <w:link w:val="149"/>
    <w:unhideWhenUsed/>
    <w:qFormat/>
    <w:uiPriority w:val="99"/>
    <w:pPr>
      <w:spacing w:before="0" w:after="120"/>
    </w:pPr>
    <w:rPr>
      <w:color w:val="000000"/>
      <w:sz w:val="16"/>
      <w:szCs w:val="16"/>
    </w:rPr>
  </w:style>
  <w:style w:type="paragraph" w:styleId="18">
    <w:name w:val="List Bullet 3"/>
    <w:basedOn w:val="1"/>
    <w:unhideWhenUsed/>
    <w:uiPriority w:val="99"/>
    <w:pPr>
      <w:numPr>
        <w:ilvl w:val="0"/>
        <w:numId w:val="4"/>
      </w:numPr>
      <w:spacing w:before="0" w:after="0"/>
      <w:contextualSpacing/>
    </w:pPr>
    <w:rPr>
      <w:color w:val="000000"/>
    </w:rPr>
  </w:style>
  <w:style w:type="paragraph" w:styleId="19">
    <w:name w:val="Body Text"/>
    <w:basedOn w:val="1"/>
    <w:link w:val="147"/>
    <w:unhideWhenUsed/>
    <w:uiPriority w:val="99"/>
    <w:pPr>
      <w:spacing w:before="0" w:after="120"/>
    </w:pPr>
    <w:rPr>
      <w:color w:val="000000"/>
    </w:rPr>
  </w:style>
  <w:style w:type="paragraph" w:styleId="20">
    <w:name w:val="List Number 3"/>
    <w:basedOn w:val="1"/>
    <w:unhideWhenUsed/>
    <w:uiPriority w:val="99"/>
    <w:pPr>
      <w:numPr>
        <w:ilvl w:val="0"/>
        <w:numId w:val="5"/>
      </w:numPr>
      <w:spacing w:before="0" w:after="0"/>
      <w:contextualSpacing/>
    </w:pPr>
    <w:rPr>
      <w:color w:val="000000"/>
    </w:rPr>
  </w:style>
  <w:style w:type="paragraph" w:styleId="21">
    <w:name w:val="List 2"/>
    <w:basedOn w:val="1"/>
    <w:unhideWhenUsed/>
    <w:qFormat/>
    <w:uiPriority w:val="99"/>
    <w:pPr>
      <w:spacing w:before="0" w:after="0"/>
      <w:ind w:left="720" w:hanging="360"/>
      <w:contextualSpacing/>
    </w:pPr>
    <w:rPr>
      <w:color w:val="000000"/>
    </w:rPr>
  </w:style>
  <w:style w:type="paragraph" w:styleId="22">
    <w:name w:val="List Continue"/>
    <w:basedOn w:val="1"/>
    <w:unhideWhenUsed/>
    <w:uiPriority w:val="99"/>
    <w:pPr>
      <w:spacing w:before="0" w:after="120"/>
      <w:ind w:left="360"/>
      <w:contextualSpacing/>
    </w:pPr>
    <w:rPr>
      <w:color w:val="000000"/>
    </w:rPr>
  </w:style>
  <w:style w:type="paragraph" w:styleId="23">
    <w:name w:val="List Bullet 2"/>
    <w:basedOn w:val="1"/>
    <w:unhideWhenUsed/>
    <w:uiPriority w:val="99"/>
    <w:pPr>
      <w:numPr>
        <w:ilvl w:val="0"/>
        <w:numId w:val="6"/>
      </w:numPr>
      <w:spacing w:before="0" w:after="0"/>
      <w:contextualSpacing/>
    </w:pPr>
    <w:rPr>
      <w:color w:val="000000"/>
    </w:rPr>
  </w:style>
  <w:style w:type="paragraph" w:styleId="24">
    <w:name w:val="footer"/>
    <w:basedOn w:val="1"/>
    <w:link w:val="141"/>
    <w:unhideWhenUsed/>
    <w:uiPriority w:val="99"/>
    <w:pPr>
      <w:tabs>
        <w:tab w:val="center" w:pos="4680"/>
        <w:tab w:val="right" w:pos="9360"/>
      </w:tabs>
      <w:spacing w:before="0" w:after="0" w:line="240" w:lineRule="auto"/>
    </w:pPr>
    <w:rPr>
      <w:color w:val="000000"/>
    </w:rPr>
  </w:style>
  <w:style w:type="paragraph" w:styleId="25">
    <w:name w:val="header"/>
    <w:basedOn w:val="1"/>
    <w:link w:val="140"/>
    <w:unhideWhenUsed/>
    <w:uiPriority w:val="99"/>
    <w:pPr>
      <w:tabs>
        <w:tab w:val="center" w:pos="4680"/>
        <w:tab w:val="right" w:pos="9360"/>
      </w:tabs>
      <w:spacing w:before="0" w:after="0" w:line="240" w:lineRule="auto"/>
    </w:pPr>
    <w:rPr>
      <w:color w:val="000000"/>
    </w:rPr>
  </w:style>
  <w:style w:type="paragraph" w:styleId="26">
    <w:name w:val="toc 1"/>
    <w:basedOn w:val="1"/>
    <w:next w:val="1"/>
    <w:semiHidden/>
    <w:unhideWhenUsed/>
    <w:uiPriority w:val="39"/>
    <w:pPr>
      <w:spacing w:before="0" w:after="0" w:line="480" w:lineRule="exact"/>
      <w:ind w:left="0" w:right="0" w:firstLine="0"/>
      <w:jc w:val="left"/>
    </w:pPr>
    <w:rPr>
      <w:rFonts w:ascii="Times New Roman" w:hAnsi="Times New Roman" w:eastAsia="黑体" w:cs="Times New Roman"/>
      <w:b w:val="0"/>
      <w:color w:val="000000"/>
      <w:sz w:val="28"/>
      <w:lang w:val="en-US" w:eastAsia="zh-CN"/>
      <w:szCs w:val="28"/>
    </w:rPr>
  </w:style>
  <w:style w:type="paragraph" w:styleId="27">
    <w:name w:val="index heading"/>
    <w:basedOn w:val="28"/>
    <w:qFormat/>
    <w:uiPriority w:val="0"/>
    <w:rPr>
      <w:color w:val="000000"/>
    </w:rPr>
  </w:style>
  <w:style w:type="paragraph" w:customStyle="1" w:styleId="28">
    <w:name w:val="Heading"/>
    <w:basedOn w:val="1"/>
    <w:next w:val="19"/>
    <w:qFormat/>
    <w:uiPriority w:val="0"/>
    <w:pPr>
      <w:keepNext/>
      <w:spacing w:before="240" w:after="120"/>
    </w:pPr>
    <w:rPr>
      <w:rFonts w:ascii="Liberation Sans" w:hAnsi="Liberation Sans" w:eastAsia="Noto Sans CJK SC" w:cs="Lohit Devanagari"/>
      <w:color w:val="000000"/>
      <w:sz w:val="28"/>
      <w:szCs w:val="28"/>
    </w:rPr>
  </w:style>
  <w:style w:type="paragraph" w:styleId="29">
    <w:name w:val="Subtitle"/>
    <w:basedOn w:val="1"/>
    <w:next w:val="1"/>
    <w:link w:val="146"/>
    <w:qFormat/>
    <w:uiPriority w:val="11"/>
    <w:rPr>
      <w:rFonts w:asciiTheme="majorHAnsi" w:hAnsiTheme="majorHAnsi" w:eastAsiaTheme="majorEastAsia" w:cstheme="majorBidi"/>
      <w:i/>
      <w:iCs/>
      <w:color w:val="000000"/>
      <w:spacing w:val="15"/>
      <w:sz w:val="24"/>
      <w:szCs w:val="24"/>
    </w:rPr>
  </w:style>
  <w:style w:type="paragraph" w:styleId="30">
    <w:name w:val="List"/>
    <w:basedOn w:val="1"/>
    <w:unhideWhenUsed/>
    <w:qFormat/>
    <w:uiPriority w:val="99"/>
    <w:pPr>
      <w:spacing w:before="0" w:after="0"/>
      <w:ind w:left="360" w:hanging="360"/>
      <w:contextualSpacing/>
    </w:pPr>
    <w:rPr>
      <w:color w:val="000000"/>
    </w:rPr>
  </w:style>
  <w:style w:type="paragraph" w:styleId="31">
    <w:name w:val="toc 2"/>
    <w:basedOn w:val="1"/>
    <w:next w:val="1"/>
    <w:semiHidden/>
    <w:unhideWhenUsed/>
    <w:qFormat/>
    <w:uiPriority w:val="39"/>
    <w:pPr>
      <w:spacing w:before="0" w:after="0" w:line="480" w:lineRule="exact"/>
      <w:ind w:left="560" w:right="0" w:firstLine="0"/>
      <w:jc w:val="left"/>
    </w:pPr>
    <w:rPr>
      <w:rFonts w:ascii="Times New Roman" w:hAnsi="Times New Roman" w:eastAsia="仿宋_GB2312" w:cs="Times New Roman"/>
      <w:b w:val="0"/>
      <w:color w:val="000000"/>
      <w:sz w:val="28"/>
      <w:lang w:val="en-US" w:eastAsia="zh-CN"/>
      <w:szCs w:val="28"/>
    </w:rPr>
  </w:style>
  <w:style w:type="paragraph" w:styleId="32">
    <w:name w:val="Body Text 2"/>
    <w:basedOn w:val="1"/>
    <w:link w:val="148"/>
    <w:unhideWhenUsed/>
    <w:qFormat/>
    <w:uiPriority w:val="99"/>
    <w:pPr>
      <w:spacing w:before="0" w:after="120" w:line="480" w:lineRule="auto"/>
    </w:pPr>
    <w:rPr>
      <w:color w:val="000000"/>
    </w:rPr>
  </w:style>
  <w:style w:type="paragraph" w:styleId="33">
    <w:name w:val="List Continue 2"/>
    <w:basedOn w:val="1"/>
    <w:unhideWhenUsed/>
    <w:qFormat/>
    <w:uiPriority w:val="99"/>
    <w:pPr>
      <w:spacing w:before="0" w:after="120"/>
      <w:ind w:left="720"/>
      <w:contextualSpacing/>
    </w:pPr>
    <w:rPr>
      <w:color w:val="000000"/>
    </w:rPr>
  </w:style>
  <w:style w:type="paragraph" w:styleId="34">
    <w:name w:val="List Continue 3"/>
    <w:basedOn w:val="1"/>
    <w:unhideWhenUsed/>
    <w:uiPriority w:val="99"/>
    <w:pPr>
      <w:spacing w:before="0" w:after="120"/>
      <w:ind w:left="1080"/>
      <w:contextualSpacing/>
    </w:pPr>
    <w:rPr>
      <w:color w:val="000000"/>
    </w:rPr>
  </w:style>
  <w:style w:type="paragraph" w:styleId="35">
    <w:name w:val="Title"/>
    <w:basedOn w:val="1"/>
    <w:next w:val="1"/>
    <w:link w:val="145"/>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000000"/>
      <w:spacing w:val="5"/>
      <w:kern w:val="2"/>
      <w:sz w:val="52"/>
      <w:szCs w:val="52"/>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65F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436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36C0A"/>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6">
    <w:name w:val="Colorful Shading Accent 1"/>
    <w:basedOn w:val="36"/>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7">
    <w:name w:val="Colorful Shading Accent 2"/>
    <w:basedOn w:val="36"/>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8">
    <w:name w:val="Colorful Shading Accent 3"/>
    <w:basedOn w:val="36"/>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0">
    <w:name w:val="Colorful Shading Accent 5"/>
    <w:basedOn w:val="36"/>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1">
    <w:name w:val="Colorful Shading Accent 6"/>
    <w:basedOn w:val="36"/>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2">
    <w:name w:val="Colorful List"/>
    <w:basedOn w:val="36"/>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color w:val="000000"/>
    </w:rPr>
  </w:style>
  <w:style w:type="character" w:styleId="138">
    <w:name w:val="Emphasis"/>
    <w:basedOn w:val="136"/>
    <w:qFormat/>
    <w:uiPriority w:val="20"/>
    <w:rPr>
      <w:i/>
      <w:iCs/>
      <w:color w:val="000000"/>
    </w:rPr>
  </w:style>
  <w:style w:type="character" w:styleId="139">
    <w:name w:val="Hyperlink"/>
    <w:qFormat/>
    <w:uiPriority w:val="0"/>
    <w:rPr>
      <w:color w:val="000000"/>
      <w:u w:val="single"/>
    </w:rPr>
  </w:style>
  <w:style w:type="character" w:customStyle="1" w:styleId="140">
    <w:name w:val="Header Char"/>
    <w:basedOn w:val="136"/>
    <w:link w:val="25"/>
    <w:qFormat/>
    <w:uiPriority w:val="99"/>
    <w:rPr>
      <w:color w:val="000000"/>
    </w:rPr>
  </w:style>
  <w:style w:type="character" w:customStyle="1" w:styleId="141">
    <w:name w:val="Footer Char"/>
    <w:basedOn w:val="136"/>
    <w:link w:val="24"/>
    <w:qFormat/>
    <w:uiPriority w:val="99"/>
    <w:rPr>
      <w:color w:val="000000"/>
    </w:rPr>
  </w:style>
  <w:style w:type="character" w:customStyle="1" w:styleId="142">
    <w:name w:val="Heading 1 Char"/>
    <w:basedOn w:val="136"/>
    <w:link w:val="3"/>
    <w:qFormat/>
    <w:uiPriority w:val="9"/>
    <w:rPr>
      <w:rFonts w:asciiTheme="majorHAnsi" w:hAnsiTheme="majorHAnsi" w:eastAsiaTheme="majorEastAsia" w:cstheme="majorBidi"/>
      <w:b/>
      <w:bCs/>
      <w:color w:val="000000"/>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000000"/>
      <w:sz w:val="26"/>
      <w:szCs w:val="26"/>
    </w:rPr>
  </w:style>
  <w:style w:type="character" w:customStyle="1" w:styleId="144">
    <w:name w:val="Heading 3 Char"/>
    <w:basedOn w:val="136"/>
    <w:link w:val="5"/>
    <w:qFormat/>
    <w:uiPriority w:val="9"/>
    <w:rPr>
      <w:rFonts w:asciiTheme="majorHAnsi" w:hAnsiTheme="majorHAnsi" w:eastAsiaTheme="majorEastAsia" w:cstheme="majorBidi"/>
      <w:b/>
      <w:bCs/>
      <w:color w:val="000000"/>
    </w:rPr>
  </w:style>
  <w:style w:type="character" w:customStyle="1" w:styleId="145">
    <w:name w:val="Title Char"/>
    <w:basedOn w:val="136"/>
    <w:link w:val="35"/>
    <w:qFormat/>
    <w:uiPriority w:val="10"/>
    <w:rPr>
      <w:rFonts w:asciiTheme="majorHAnsi" w:hAnsiTheme="majorHAnsi" w:eastAsiaTheme="majorEastAsia" w:cstheme="majorBidi"/>
      <w:color w:val="000000"/>
      <w:spacing w:val="5"/>
      <w:kern w:val="2"/>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000000"/>
      <w:spacing w:val="15"/>
      <w:sz w:val="24"/>
      <w:szCs w:val="24"/>
    </w:rPr>
  </w:style>
  <w:style w:type="character" w:customStyle="1" w:styleId="147">
    <w:name w:val="Body Text Char"/>
    <w:basedOn w:val="136"/>
    <w:link w:val="19"/>
    <w:qFormat/>
    <w:uiPriority w:val="99"/>
    <w:rPr>
      <w:color w:val="000000"/>
    </w:rPr>
  </w:style>
  <w:style w:type="character" w:customStyle="1" w:styleId="148">
    <w:name w:val="Body Text 2 Char"/>
    <w:basedOn w:val="136"/>
    <w:link w:val="32"/>
    <w:qFormat/>
    <w:uiPriority w:val="99"/>
    <w:rPr>
      <w:color w:val="000000"/>
    </w:rPr>
  </w:style>
  <w:style w:type="character" w:customStyle="1" w:styleId="149">
    <w:name w:val="Body Text 3 Char"/>
    <w:basedOn w:val="136"/>
    <w:link w:val="17"/>
    <w:qFormat/>
    <w:uiPriority w:val="99"/>
    <w:rPr>
      <w:color w:val="000000"/>
      <w:sz w:val="16"/>
      <w:szCs w:val="16"/>
    </w:rPr>
  </w:style>
  <w:style w:type="character" w:customStyle="1" w:styleId="150">
    <w:name w:val="Macro Text Char"/>
    <w:basedOn w:val="136"/>
    <w:link w:val="2"/>
    <w:qFormat/>
    <w:uiPriority w:val="99"/>
    <w:rPr>
      <w:rFonts w:ascii="Courier" w:hAnsi="Courier"/>
      <w:color w:val="000000"/>
      <w:sz w:val="20"/>
      <w:szCs w:val="20"/>
    </w:rPr>
  </w:style>
  <w:style w:type="character" w:customStyle="1" w:styleId="151">
    <w:name w:val="Quote Char"/>
    <w:basedOn w:val="136"/>
    <w:link w:val="152"/>
    <w:qFormat/>
    <w:uiPriority w:val="29"/>
    <w:rPr>
      <w:i/>
      <w:iCs/>
      <w:color w:val="000000"/>
    </w:rPr>
  </w:style>
  <w:style w:type="paragraph" w:styleId="152">
    <w:name w:val="Quote"/>
    <w:basedOn w:val="1"/>
    <w:next w:val="1"/>
    <w:link w:val="151"/>
    <w:qFormat/>
    <w:uiPriority w:val="29"/>
    <w:rPr>
      <w:i/>
      <w:iCs/>
      <w:color w:val="000000"/>
    </w:rPr>
  </w:style>
  <w:style w:type="character" w:customStyle="1" w:styleId="153">
    <w:name w:val="Heading 4 Char"/>
    <w:basedOn w:val="136"/>
    <w:link w:val="6"/>
    <w:semiHidden/>
    <w:qFormat/>
    <w:uiPriority w:val="9"/>
    <w:rPr>
      <w:rFonts w:asciiTheme="majorHAnsi" w:hAnsiTheme="majorHAnsi" w:eastAsiaTheme="majorEastAsia" w:cstheme="majorBidi"/>
      <w:b/>
      <w:bCs/>
      <w:i/>
      <w:iCs/>
      <w:color w:val="000000"/>
    </w:rPr>
  </w:style>
  <w:style w:type="character" w:customStyle="1" w:styleId="154">
    <w:name w:val="Heading 5 Char"/>
    <w:basedOn w:val="136"/>
    <w:link w:val="7"/>
    <w:semiHidden/>
    <w:qFormat/>
    <w:uiPriority w:val="9"/>
    <w:rPr>
      <w:rFonts w:asciiTheme="majorHAnsi" w:hAnsiTheme="majorHAnsi" w:eastAsiaTheme="majorEastAsia" w:cstheme="majorBidi"/>
      <w:color w:val="000000"/>
    </w:rPr>
  </w:style>
  <w:style w:type="character" w:customStyle="1" w:styleId="155">
    <w:name w:val="Heading 6 Char"/>
    <w:basedOn w:val="136"/>
    <w:link w:val="8"/>
    <w:semiHidden/>
    <w:qFormat/>
    <w:uiPriority w:val="9"/>
    <w:rPr>
      <w:rFonts w:asciiTheme="majorHAnsi" w:hAnsiTheme="majorHAnsi" w:eastAsiaTheme="majorEastAsia" w:cstheme="majorBidi"/>
      <w:i/>
      <w:iCs/>
      <w:color w:val="000000"/>
    </w:rPr>
  </w:style>
  <w:style w:type="character" w:customStyle="1" w:styleId="156">
    <w:name w:val="Heading 7 Char"/>
    <w:basedOn w:val="136"/>
    <w:link w:val="9"/>
    <w:semiHidden/>
    <w:qFormat/>
    <w:uiPriority w:val="9"/>
    <w:rPr>
      <w:rFonts w:asciiTheme="majorHAnsi" w:hAnsiTheme="majorHAnsi" w:eastAsiaTheme="majorEastAsia" w:cstheme="majorBidi"/>
      <w:i/>
      <w:iCs/>
      <w:color w:val="000000"/>
    </w:rPr>
  </w:style>
  <w:style w:type="character" w:customStyle="1" w:styleId="157">
    <w:name w:val="Heading 8 Char"/>
    <w:basedOn w:val="136"/>
    <w:link w:val="10"/>
    <w:semiHidden/>
    <w:qFormat/>
    <w:uiPriority w:val="9"/>
    <w:rPr>
      <w:rFonts w:asciiTheme="majorHAnsi" w:hAnsiTheme="majorHAnsi" w:eastAsiaTheme="majorEastAsia" w:cstheme="majorBidi"/>
      <w:color w:val="000000"/>
      <w:sz w:val="20"/>
      <w:szCs w:val="20"/>
    </w:rPr>
  </w:style>
  <w:style w:type="character" w:customStyle="1" w:styleId="158">
    <w:name w:val="Heading 9 Char"/>
    <w:basedOn w:val="136"/>
    <w:link w:val="11"/>
    <w:semiHidden/>
    <w:qFormat/>
    <w:uiPriority w:val="9"/>
    <w:rPr>
      <w:rFonts w:asciiTheme="majorHAnsi" w:hAnsiTheme="majorHAnsi" w:eastAsiaTheme="majorEastAsia" w:cstheme="majorBidi"/>
      <w:i/>
      <w:iCs/>
      <w:color w:val="000000"/>
      <w:sz w:val="20"/>
      <w:szCs w:val="20"/>
    </w:rPr>
  </w:style>
  <w:style w:type="character" w:customStyle="1" w:styleId="159">
    <w:name w:val="Intense Quote Char"/>
    <w:basedOn w:val="136"/>
    <w:link w:val="160"/>
    <w:qFormat/>
    <w:uiPriority w:val="30"/>
    <w:rPr>
      <w:b/>
      <w:bCs/>
      <w:i/>
      <w:iCs/>
      <w:color w:val="000000"/>
    </w:rPr>
  </w:style>
  <w:style w:type="paragraph" w:styleId="160">
    <w:name w:val="Intense Quote"/>
    <w:basedOn w:val="1"/>
    <w:next w:val="1"/>
    <w:link w:val="159"/>
    <w:qFormat/>
    <w:uiPriority w:val="30"/>
    <w:pPr>
      <w:pBdr>
        <w:bottom w:val="single" w:color="4F81BD" w:themeColor="accent1" w:sz="4" w:space="4"/>
      </w:pBdr>
      <w:spacing w:before="200" w:after="280"/>
      <w:ind w:left="936" w:right="936"/>
    </w:pPr>
    <w:rPr>
      <w:b/>
      <w:bCs/>
      <w:i/>
      <w:iCs/>
      <w:color w:val="000000"/>
    </w:rPr>
  </w:style>
  <w:style w:type="character" w:customStyle="1" w:styleId="161">
    <w:name w:val="Subtle Emphasis"/>
    <w:basedOn w:val="136"/>
    <w:qFormat/>
    <w:uiPriority w:val="19"/>
    <w:rPr>
      <w:i/>
      <w:iCs/>
      <w:color w:val="000000"/>
    </w:rPr>
  </w:style>
  <w:style w:type="character" w:customStyle="1" w:styleId="162">
    <w:name w:val="Intense Emphasis"/>
    <w:basedOn w:val="136"/>
    <w:qFormat/>
    <w:uiPriority w:val="21"/>
    <w:rPr>
      <w:b/>
      <w:bCs/>
      <w:i/>
      <w:iCs/>
      <w:color w:val="000000"/>
    </w:rPr>
  </w:style>
  <w:style w:type="character" w:customStyle="1" w:styleId="163">
    <w:name w:val="Subtle Reference"/>
    <w:basedOn w:val="136"/>
    <w:qFormat/>
    <w:uiPriority w:val="31"/>
    <w:rPr>
      <w:smallCaps/>
      <w:color w:val="000000"/>
      <w:u w:val="single"/>
    </w:rPr>
  </w:style>
  <w:style w:type="character" w:customStyle="1" w:styleId="164">
    <w:name w:val="Intense Reference"/>
    <w:basedOn w:val="136"/>
    <w:qFormat/>
    <w:uiPriority w:val="32"/>
    <w:rPr>
      <w:b/>
      <w:bCs/>
      <w:smallCaps/>
      <w:color w:val="000000"/>
      <w:spacing w:val="5"/>
      <w:u w:val="single"/>
    </w:rPr>
  </w:style>
  <w:style w:type="character" w:customStyle="1" w:styleId="165">
    <w:name w:val="Book Title"/>
    <w:basedOn w:val="136"/>
    <w:qFormat/>
    <w:uiPriority w:val="33"/>
    <w:rPr>
      <w:b/>
      <w:bCs/>
      <w:smallCaps/>
      <w:color w:val="000000"/>
      <w:spacing w:val="5"/>
    </w:rPr>
  </w:style>
  <w:style w:type="character" w:customStyle="1" w:styleId="166">
    <w:name w:val="Index Link"/>
    <w:qFormat/>
    <w:uiPriority w:val="0"/>
    <w:rPr>
      <w:color w:val="000000"/>
    </w:rPr>
  </w:style>
  <w:style w:type="paragraph" w:customStyle="1" w:styleId="167">
    <w:name w:val="Index"/>
    <w:basedOn w:val="1"/>
    <w:qFormat/>
    <w:uiPriority w:val="0"/>
    <w:pPr>
      <w:suppressLineNumbers/>
    </w:pPr>
    <w:rPr>
      <w:rFonts w:cs="Lohit Devanagari"/>
      <w:color w:val="000000"/>
    </w:rPr>
  </w:style>
  <w:style w:type="paragraph" w:customStyle="1" w:styleId="168">
    <w:name w:val="Header and Footer"/>
    <w:basedOn w:val="1"/>
    <w:qFormat/>
    <w:uiPriority w:val="0"/>
    <w:rPr>
      <w:color w:val="000000"/>
    </w:rPr>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000000"/>
      <w:kern w:val="0"/>
      <w:sz w:val="22"/>
      <w:szCs w:val="22"/>
      <w:lang w:val="en-US" w:eastAsia="en-US" w:bidi="ar-SA"/>
    </w:rPr>
  </w:style>
  <w:style w:type="paragraph" w:styleId="170">
    <w:name w:val="List Paragraph"/>
    <w:basedOn w:val="1"/>
    <w:qFormat/>
    <w:uiPriority w:val="34"/>
    <w:pPr>
      <w:spacing w:before="0" w:after="0"/>
      <w:ind w:left="720"/>
      <w:contextualSpacing/>
    </w:pPr>
    <w:rPr>
      <w:color w:val="000000"/>
    </w:rPr>
  </w:style>
  <w:style w:type="paragraph" w:customStyle="1" w:styleId="171">
    <w:name w:val="TOC Heading"/>
    <w:basedOn w:val="3"/>
    <w:next w:val="1"/>
    <w:semiHidden/>
    <w:unhideWhenUsed/>
    <w:qFormat/>
    <w:uiPriority w:val="39"/>
    <w:pPr>
      <w:outlineLvl w:val="9"/>
    </w:pPr>
    <w:rPr>
      <w:color w:val="000000"/>
    </w:rPr>
  </w:style>
  <w:style w:type="paragraph" w:customStyle="1" w:styleId="172">
    <w:name w:val="CoverTitle"/>
    <w:qFormat/>
    <w:uiPriority w:val="0"/>
    <w:pPr>
      <w:widowControl/>
      <w:suppressAutoHyphens/>
      <w:bidi w:val="0"/>
      <w:spacing w:before="0" w:after="0" w:line="760" w:lineRule="exact"/>
      <w:ind w:left="0" w:right="0" w:firstLine="0"/>
      <w:jc w:val="center"/>
    </w:pPr>
    <w:rPr>
      <w:rFonts w:ascii="Times New Roman" w:hAnsi="Times New Roman" w:eastAsia="方正小标宋简体" w:cs="Times New Roman"/>
      <w:b w:val="0"/>
      <w:color w:val="000000"/>
      <w:kern w:val="0"/>
      <w:sz w:val="44"/>
      <w:szCs w:val="44"/>
      <w:lang w:val="en-US" w:eastAsia="zh-CN" w:bidi="ar-SA"/>
    </w:rPr>
  </w:style>
  <w:style w:type="paragraph" w:customStyle="1" w:styleId="173">
    <w:name w:val="CoverSubtitle"/>
    <w:qFormat/>
    <w:uiPriority w:val="0"/>
    <w:pPr>
      <w:widowControl/>
      <w:suppressAutoHyphens/>
      <w:bidi w:val="0"/>
      <w:spacing w:before="0" w:after="0" w:line="276" w:lineRule="auto"/>
      <w:jc w:val="center"/>
    </w:pPr>
    <w:rPr>
      <w:rFonts w:ascii="Times New Roman" w:hAnsi="Times New Roman" w:eastAsia="楷体_GB2312" w:cstheme="minorBidi"/>
      <w:color w:val="000000"/>
      <w:kern w:val="0"/>
      <w:sz w:val="32"/>
      <w:szCs w:val="22"/>
      <w:lang w:val="en-US" w:eastAsia="en-US" w:bidi="ar-SA"/>
    </w:rPr>
  </w:style>
  <w:style w:type="paragraph" w:customStyle="1" w:styleId="174">
    <w:name w:val="CoverOrg"/>
    <w:qFormat/>
    <w:uiPriority w:val="0"/>
    <w:pPr>
      <w:widowControl/>
      <w:suppressAutoHyphens/>
      <w:bidi w:val="0"/>
      <w:spacing w:before="0" w:after="0" w:line="580" w:lineRule="exact"/>
      <w:ind w:left="0" w:right="0" w:firstLine="0"/>
      <w:jc w:val="center"/>
    </w:pPr>
    <w:rPr>
      <w:rFonts w:ascii="Times New Roman" w:hAnsi="Times New Roman" w:eastAsia="仿宋_GB2312" w:cs="Times New Roman"/>
      <w:b w:val="0"/>
      <w:color w:val="000000"/>
      <w:kern w:val="0"/>
      <w:sz w:val="32"/>
      <w:szCs w:val="32"/>
      <w:lang w:val="en-US" w:eastAsia="zh-CN" w:bidi="ar-SA"/>
    </w:rPr>
  </w:style>
  <w:style w:type="paragraph" w:customStyle="1" w:styleId="175">
    <w:name w:val="TocTitle"/>
    <w:qFormat/>
    <w:uiPriority w:val="0"/>
    <w:pPr>
      <w:widowControl/>
      <w:suppressAutoHyphens/>
      <w:bidi w:val="0"/>
      <w:spacing w:before="0" w:after="360" w:line="640" w:lineRule="exact"/>
      <w:ind w:left="0" w:right="0" w:firstLine="0"/>
      <w:jc w:val="center"/>
    </w:pPr>
    <w:rPr>
      <w:rFonts w:ascii="Times New Roman" w:hAnsi="Times New Roman" w:eastAsia="方正小标宋简体" w:cs="Times New Roman"/>
      <w:b w:val="0"/>
      <w:color w:val="000000"/>
      <w:kern w:val="0"/>
      <w:sz w:val="44"/>
      <w:szCs w:val="44"/>
      <w:lang w:val="en-US" w:eastAsia="zh-CN" w:bidi="ar-SA"/>
    </w:rPr>
  </w:style>
  <w:style w:type="paragraph" w:customStyle="1" w:styleId="176">
    <w:name w:val="NumberedBody"/>
    <w:qFormat/>
    <w:uiPriority w:val="0"/>
    <w:pPr>
      <w:widowControl/>
      <w:suppressAutoHyphens/>
      <w:bidi w:val="0"/>
      <w:spacing w:before="0" w:after="0" w:line="580" w:lineRule="exact"/>
      <w:ind w:left="0" w:right="0" w:firstLine="640"/>
      <w:jc w:val="both"/>
    </w:pPr>
    <w:rPr>
      <w:rFonts w:ascii="Times New Roman" w:hAnsi="Times New Roman" w:eastAsia="仿宋_GB2312" w:cs="Times New Roman"/>
      <w:color w:val="000000"/>
      <w:kern w:val="0"/>
      <w:sz w:val="32"/>
      <w:szCs w:val="32"/>
      <w:lang w:val="en-US" w:eastAsia="zh-CN" w:bidi="ar-SA"/>
    </w:rPr>
  </w:style>
  <w:style w:type="paragraph" w:customStyle="1" w:styleId="177">
    <w:name w:val="NoteText"/>
    <w:qFormat/>
    <w:uiPriority w:val="0"/>
    <w:pPr>
      <w:widowControl/>
      <w:suppressAutoHyphens/>
      <w:bidi w:val="0"/>
      <w:spacing w:before="0" w:after="200" w:line="420" w:lineRule="exact"/>
      <w:ind w:firstLine="440"/>
      <w:jc w:val="left"/>
    </w:pPr>
    <w:rPr>
      <w:rFonts w:ascii="Times New Roman" w:hAnsi="Times New Roman" w:eastAsia="宋体" w:cstheme="minorBidi"/>
      <w:color w:val="000000"/>
      <w:kern w:val="0"/>
      <w:sz w:val="22"/>
      <w:szCs w:val="22"/>
      <w:lang w:val="en-US" w:eastAsia="en-US" w:bidi="ar-SA"/>
    </w:rPr>
  </w:style>
  <w:style w:type="paragraph" w:customStyle="1" w:styleId="OpportunityTitle">
    <w:name w:val="OpportunityTitle"/>
    <w:basedOn w:val="1"/>
    <w:pPr>
      <w:keepNext/>
      <w:spacing w:before="0" w:after="0" w:line="580" w:lineRule="exact"/>
      <w:ind w:left="0" w:right="0" w:firstLine="0"/>
      <w:jc w:val="left"/>
    </w:pPr>
    <w:rPr>
      <w:rFonts w:ascii="Times New Roman" w:hAnsi="Times New Roman" w:eastAsia="楷体_GB2312" w:cs="Times New Roman"/>
      <w:b w:val="0"/>
      <w:sz w:val="32"/>
      <w:szCs w:val="32"/>
    </w:rPr>
  </w:style>
  <w:style w:type="paragraph" w:customStyle="1" w:styleId="LeadBody">
    <w:name w:val="LeadBody"/>
    <w:basedOn w:val="1"/>
    <w:pPr>
      <w:spacing w:before="0" w:after="0" w:line="580" w:lineRule="exact"/>
      <w:ind w:left="0" w:right="0" w:firstLine="0"/>
      <w:jc w:val="both"/>
    </w:pPr>
    <w:rPr>
      <w:rFonts w:ascii="Times New Roman" w:hAnsi="Times New Roman" w:eastAsia="仿宋_GB2312"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26838</Words>
  <Characters>26914</Characters>
  <Paragraphs>334</Paragraphs>
  <TotalTime>0</TotalTime>
  <ScaleCrop>false</ScaleCrop>
  <LinksUpToDate>false</LinksUpToDate>
  <CharactersWithSpaces>27050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2026-08-05T01:26:14Z</dcterms:created>
  <dc:creator>Liuxing</dc:creator>
  <cp:lastModifiedBy>Liuxing</cp:lastModifiedBy>
  <dcterms:modified xsi:type="dcterms:W3CDTF">2026-08-05T01:27:12Z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DA95DAE70C4E4974BC64934754C22893_12</vt:lpwstr>
  </property>
  <property fmtid="{D5CDD505-2E9C-101B-9397-08002B2CF9AE}" pid="3" name="KSOProductBuildVer">
    <vt:lpwstr>2052-12.1.0.28043</vt:lpwstr>
  </property>
  <property fmtid="{D5CDD505-2E9C-101B-9397-08002B2CF9AE}" pid="4" name="KSOTemplateDocerSaveRecord">
    <vt:lpwstr>eyJoZGlkIjoiNDkwYzNiYzhhNWJiYzk5YzZiYmM4NTkwODhmMTA4MGYiLCJ1c2VySWQiOiI1MTg2OTkyMzQifQ==</vt:lpwstr>
  </property>
</Properties>
</file>