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3D5AFE"/>
          <w:sz w:val="64"/>
          <w:szCs w:val="64"/>
        </w:rPr>
        <w:t xml:space="preserve">跟进看板</w:t>
      </w:r>
    </w:p>
    <w:p>
      <w:pPr>
        <w:spacing w:after="600" w:before="0"/>
        <w:jc w:val="center"/>
      </w:pPr>
      <w:r>
        <w:rPr>
          <w:rFonts w:ascii="Arial" w:cs="Arial" w:eastAsia="Arial" w:hAnsi="Arial"/>
          <w:b/>
          <w:bCs/>
          <w:color w:val="374151"/>
          <w:sz w:val="48"/>
          <w:szCs w:val="48"/>
        </w:rPr>
        <w:t xml:space="preserve">产品说明文档</w:t>
      </w:r>
    </w:p>
    <w:p>
      <w:pPr>
        <w:spacing w:after="120"/>
        <w:jc w:val="center"/>
      </w:pPr>
      <w:r>
        <w:rPr>
          <w:rFonts w:ascii="Arial" w:cs="Arial" w:eastAsia="Arial" w:hAnsi="Arial"/>
          <w:color w:val="6B7280"/>
          <w:sz w:val="24"/>
          <w:szCs w:val="24"/>
        </w:rPr>
        <w:t xml:space="preserve">CRM 管理系统 · 复盘统计模块</w:t>
      </w:r>
    </w:p>
    <w:p>
      <w:pPr>
        <w:spacing w:after="0"/>
        <w:jc w:val="center"/>
      </w:pPr>
      <w:r>
        <w:rPr>
          <w:rFonts w:ascii="Arial" w:cs="Arial" w:eastAsia="Arial" w:hAnsi="Arial"/>
          <w:color w:val="6B7280"/>
          <w:sz w:val="22"/>
          <w:szCs w:val="22"/>
        </w:rPr>
        <w:t xml:space="preserve">2026 年 7 月</w:t>
      </w:r>
    </w:p>
    <w:p>
      <w:r>
        <w:br w:type="page"/>
      </w:r>
    </w:p>
    <w:p>
      <w:pPr>
        <w:pStyle w:val="Heading1"/>
        <w:spacing w:after="200" w:before="360"/>
      </w:pPr>
      <w:r>
        <w:rPr>
          <w:rFonts w:ascii="Arial" w:cs="Arial" w:eastAsia="Arial" w:hAnsi="Arial"/>
          <w:b/>
          <w:bCs/>
          <w:color w:val="111827"/>
          <w:sz w:val="36"/>
          <w:szCs w:val="36"/>
        </w:rPr>
        <w:t xml:space="preserve">一、产品概述</w:t>
      </w:r>
    </w:p>
    <w:p>
      <w:pPr>
        <w:pStyle w:val="Heading2"/>
        <w:spacing w:after="160" w:before="280"/>
      </w:pPr>
      <w:r>
        <w:rPr>
          <w:rFonts w:ascii="Arial" w:cs="Arial" w:eastAsia="Arial" w:hAnsi="Arial"/>
          <w:b/>
          <w:bCs/>
          <w:color w:val="3D5AFE"/>
          <w:sz w:val="28"/>
          <w:szCs w:val="28"/>
        </w:rPr>
        <w:t xml:space="preserve">1.1 产品定位</w:t>
      </w:r>
    </w:p>
    <w:p>
      <w:pPr>
        <w:spacing w:after="100"/>
      </w:pPr>
      <w:r>
        <w:rPr>
          <w:rFonts w:ascii="Arial" w:cs="Arial" w:eastAsia="Arial" w:hAnsi="Arial"/>
          <w:b w:val="false"/>
          <w:bCs w:val="false"/>
          <w:color w:val="374151"/>
          <w:sz w:val="22"/>
          <w:szCs w:val="22"/>
        </w:rPr>
        <w:t xml:space="preserve">跟进看板是面向润泽园教育项目运营团队的数据复盘工具，聚焦正价课招募全链路的数据追踪与团队协作，支持从公司整体到个人的多层级穿透查看，帮助运营管理者实时掌握各区域招募进展、识别缺口并推动策略落地。</w:t>
      </w:r>
    </w:p>
    <w:p>
      <w:pPr>
        <w:pStyle w:val="Heading2"/>
        <w:spacing w:after="160" w:before="280"/>
      </w:pPr>
      <w:r>
        <w:rPr>
          <w:rFonts w:ascii="Arial" w:cs="Arial" w:eastAsia="Arial" w:hAnsi="Arial"/>
          <w:b/>
          <w:bCs/>
          <w:color w:val="3D5AFE"/>
          <w:sz w:val="28"/>
          <w:szCs w:val="28"/>
        </w:rPr>
        <w:t xml:space="preserve">1.2 适用场景</w:t>
      </w:r>
    </w:p>
    <w:p>
      <w:pPr>
        <w:pStyle w:val="ListParagraph"/>
        <w:numPr>
          <w:ilvl w:val="0"/>
          <w:numId w:val="2"/>
        </w:numPr>
        <w:spacing w:after="80"/>
      </w:pPr>
      <w:r>
        <w:rPr>
          <w:rFonts w:ascii="Arial" w:cs="Arial" w:eastAsia="Arial" w:hAnsi="Arial"/>
          <w:color w:val="374151"/>
          <w:sz w:val="22"/>
          <w:szCs w:val="22"/>
        </w:rPr>
        <w:t xml:space="preserve">项目启动后，运营总监快速了解全国各省 / 小组的正价学员报名完成情况</w:t>
      </w:r>
    </w:p>
    <w:p>
      <w:pPr>
        <w:pStyle w:val="ListParagraph"/>
        <w:numPr>
          <w:ilvl w:val="0"/>
          <w:numId w:val="2"/>
        </w:numPr>
        <w:spacing w:after="80"/>
      </w:pPr>
      <w:r>
        <w:rPr>
          <w:rFonts w:ascii="Arial" w:cs="Arial" w:eastAsia="Arial" w:hAnsi="Arial"/>
          <w:color w:val="374151"/>
          <w:sz w:val="22"/>
          <w:szCs w:val="22"/>
        </w:rPr>
        <w:t xml:space="preserve">每日晨会 / 复盘会议中，团队共同查看数据进展并录入当前策略</w:t>
      </w:r>
    </w:p>
    <w:p>
      <w:pPr>
        <w:pStyle w:val="ListParagraph"/>
        <w:numPr>
          <w:ilvl w:val="0"/>
          <w:numId w:val="2"/>
        </w:numPr>
        <w:spacing w:after="80"/>
      </w:pPr>
      <w:r>
        <w:rPr>
          <w:rFonts w:ascii="Arial" w:cs="Arial" w:eastAsia="Arial" w:hAnsi="Arial"/>
          <w:color w:val="374151"/>
          <w:sz w:val="22"/>
          <w:szCs w:val="22"/>
        </w:rPr>
        <w:t xml:space="preserve">项目管理顾问为各省份录入目标和参考目标数据</w:t>
      </w:r>
    </w:p>
    <w:p>
      <w:pPr>
        <w:pStyle w:val="ListParagraph"/>
        <w:numPr>
          <w:ilvl w:val="0"/>
          <w:numId w:val="2"/>
        </w:numPr>
        <w:spacing w:after="80"/>
      </w:pPr>
      <w:r>
        <w:rPr>
          <w:rFonts w:ascii="Arial" w:cs="Arial" w:eastAsia="Arial" w:hAnsi="Arial"/>
          <w:color w:val="374151"/>
          <w:sz w:val="22"/>
          <w:szCs w:val="22"/>
        </w:rPr>
        <w:t xml:space="preserve">分管领导对特定省份录入指导建议</w:t>
      </w:r>
    </w:p>
    <w:p>
      <w:pPr>
        <w:pStyle w:val="Heading2"/>
        <w:spacing w:after="160" w:before="280"/>
      </w:pPr>
      <w:r>
        <w:rPr>
          <w:rFonts w:ascii="Arial" w:cs="Arial" w:eastAsia="Arial" w:hAnsi="Arial"/>
          <w:b/>
          <w:bCs/>
          <w:color w:val="3D5AFE"/>
          <w:sz w:val="28"/>
          <w:szCs w:val="28"/>
        </w:rPr>
        <w:t xml:space="preserve">1.3 核心价值</w:t>
      </w:r>
    </w:p>
    <w:p>
      <w:pPr>
        <w:pStyle w:val="ListParagraph"/>
        <w:numPr>
          <w:ilvl w:val="0"/>
          <w:numId w:val="2"/>
        </w:numPr>
        <w:spacing w:after="80"/>
      </w:pPr>
      <w:r>
        <w:rPr>
          <w:rFonts w:ascii="Arial" w:cs="Arial" w:eastAsia="Arial" w:hAnsi="Arial"/>
          <w:color w:val="374151"/>
          <w:sz w:val="22"/>
          <w:szCs w:val="22"/>
        </w:rPr>
        <w:t xml:space="preserve">一张表看全局：多层级穿透，从汇总到个人一键展开</w:t>
      </w:r>
    </w:p>
    <w:p>
      <w:pPr>
        <w:pStyle w:val="ListParagraph"/>
        <w:numPr>
          <w:ilvl w:val="0"/>
          <w:numId w:val="2"/>
        </w:numPr>
        <w:spacing w:after="80"/>
      </w:pPr>
      <w:r>
        <w:rPr>
          <w:rFonts w:ascii="Arial" w:cs="Arial" w:eastAsia="Arial" w:hAnsi="Arial"/>
          <w:color w:val="374151"/>
          <w:sz w:val="22"/>
          <w:szCs w:val="22"/>
        </w:rPr>
        <w:t xml:space="preserve">多课程对比：同时选最多 5 个课程，横向比较各期数据</w:t>
      </w:r>
    </w:p>
    <w:p>
      <w:pPr>
        <w:pStyle w:val="ListParagraph"/>
        <w:numPr>
          <w:ilvl w:val="0"/>
          <w:numId w:val="2"/>
        </w:numPr>
        <w:spacing w:after="80"/>
      </w:pPr>
      <w:r>
        <w:rPr>
          <w:rFonts w:ascii="Arial" w:cs="Arial" w:eastAsia="Arial" w:hAnsi="Arial"/>
          <w:color w:val="374151"/>
          <w:sz w:val="22"/>
          <w:szCs w:val="22"/>
        </w:rPr>
        <w:t xml:space="preserve">指标体系完整：覆盖正价招募、升班、会场、名单转化全链路</w:t>
      </w:r>
    </w:p>
    <w:p>
      <w:pPr>
        <w:pStyle w:val="ListParagraph"/>
        <w:numPr>
          <w:ilvl w:val="0"/>
          <w:numId w:val="2"/>
        </w:numPr>
        <w:spacing w:after="80"/>
      </w:pPr>
      <w:r>
        <w:rPr>
          <w:rFonts w:ascii="Arial" w:cs="Arial" w:eastAsia="Arial" w:hAnsi="Arial"/>
          <w:color w:val="374151"/>
          <w:sz w:val="22"/>
          <w:szCs w:val="22"/>
        </w:rPr>
        <w:t xml:space="preserve">策略协作闭环：策略、支持需求、指导建议均可在线填写，按阶段留存历史</w:t>
      </w:r>
    </w:p>
    <w:p>
      <w:pPr>
        <w:pStyle w:val="Heading2"/>
        <w:spacing w:after="160" w:before="280"/>
      </w:pPr>
      <w:r>
        <w:rPr>
          <w:rFonts w:ascii="Arial" w:cs="Arial" w:eastAsia="Arial" w:hAnsi="Arial"/>
          <w:b/>
          <w:bCs/>
          <w:color w:val="3D5AFE"/>
          <w:sz w:val="28"/>
          <w:szCs w:val="28"/>
        </w:rPr>
        <w:t xml:space="preserve">1.4 用户角色</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角色</w:t>
            </w:r>
          </w:p>
        </w:tc>
        <w:tc>
          <w:tcPr>
            <w:tcW w:type="dxa" w:w="28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主要职责</w:t>
            </w:r>
          </w:p>
        </w:tc>
        <w:tc>
          <w:tcPr>
            <w:tcW w:type="dxa" w:w="45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典型操作</w:t>
            </w:r>
          </w:p>
        </w:tc>
      </w:tr>
      <w:tr>
        <w:tc>
          <w:tcPr>
            <w:tcW w:type="dxa" w:w="2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运营总监</w:t>
            </w:r>
          </w:p>
        </w:tc>
        <w:tc>
          <w:tcPr>
            <w:tcW w:type="dxa" w:w="2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全局进展把控，策略方向决策</w:t>
            </w:r>
          </w:p>
        </w:tc>
        <w:tc>
          <w:tcPr>
            <w:tcW w:type="dxa" w:w="45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查看总计 / 小组 / 省份数据；查看各区域策略</w:t>
            </w:r>
          </w:p>
        </w:tc>
      </w:tr>
      <w:tr>
        <w:tc>
          <w:tcPr>
            <w:tcW w:type="dxa" w:w="2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项目管理顾问</w:t>
            </w:r>
          </w:p>
        </w:tc>
        <w:tc>
          <w:tcPr>
            <w:tcW w:type="dxa" w:w="2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管理目标，追踪进展</w:t>
            </w:r>
          </w:p>
        </w:tc>
        <w:tc>
          <w:tcPr>
            <w:tcW w:type="dxa" w:w="45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录入目标 / 参考目标；上传参考目标文件</w:t>
            </w:r>
          </w:p>
        </w:tc>
      </w:tr>
      <w:tr>
        <w:tc>
          <w:tcPr>
            <w:tcW w:type="dxa" w:w="2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区域成长顾问</w:t>
            </w:r>
          </w:p>
        </w:tc>
        <w:tc>
          <w:tcPr>
            <w:tcW w:type="dxa" w:w="2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负责所属省市招募落地</w:t>
            </w:r>
          </w:p>
        </w:tc>
        <w:tc>
          <w:tcPr>
            <w:tcW w:type="dxa" w:w="45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查看自己负责省市数据；填写当前策略、需要支持</w:t>
            </w:r>
          </w:p>
        </w:tc>
      </w:tr>
      <w:tr>
        <w:tc>
          <w:tcPr>
            <w:tcW w:type="dxa" w:w="2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分管领导</w:t>
            </w:r>
          </w:p>
        </w:tc>
        <w:tc>
          <w:tcPr>
            <w:tcW w:type="dxa" w:w="2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为省份提供指导建议</w:t>
            </w:r>
          </w:p>
        </w:tc>
        <w:tc>
          <w:tcPr>
            <w:tcW w:type="dxa" w:w="45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在省份维度填写指导建议</w:t>
            </w:r>
          </w:p>
        </w:tc>
      </w:tr>
    </w:tbl>
    <w:p>
      <w:r>
        <w:t xml:space="preserve"/>
      </w:r>
    </w:p>
    <w:p>
      <w:r>
        <w:br w:type="page"/>
      </w:r>
    </w:p>
    <w:p>
      <w:pPr>
        <w:pStyle w:val="Heading1"/>
        <w:spacing w:after="200" w:before="360"/>
      </w:pPr>
      <w:r>
        <w:rPr>
          <w:rFonts w:ascii="Arial" w:cs="Arial" w:eastAsia="Arial" w:hAnsi="Arial"/>
          <w:b/>
          <w:bCs/>
          <w:color w:val="111827"/>
          <w:sz w:val="36"/>
          <w:szCs w:val="36"/>
        </w:rPr>
        <w:t xml:space="preserve">二、页面结构</w:t>
      </w:r>
    </w:p>
    <w:p>
      <w:pPr>
        <w:pStyle w:val="Heading2"/>
        <w:spacing w:after="160" w:before="280"/>
      </w:pPr>
      <w:r>
        <w:rPr>
          <w:rFonts w:ascii="Arial" w:cs="Arial" w:eastAsia="Arial" w:hAnsi="Arial"/>
          <w:b/>
          <w:bCs/>
          <w:color w:val="3D5AFE"/>
          <w:sz w:val="28"/>
          <w:szCs w:val="28"/>
        </w:rPr>
        <w:t xml:space="preserve">2.1 顶部工具栏</w:t>
      </w:r>
    </w:p>
    <w:p>
      <w:pPr>
        <w:spacing w:after="100"/>
      </w:pPr>
      <w:r>
        <w:rPr>
          <w:rFonts w:ascii="Arial" w:cs="Arial" w:eastAsia="Arial" w:hAnsi="Arial"/>
          <w:b w:val="false"/>
          <w:bCs w:val="false"/>
          <w:color w:val="374151"/>
          <w:sz w:val="22"/>
          <w:szCs w:val="22"/>
        </w:rPr>
        <w:t xml:space="preserve">工具栏从左到右依次包含：</w:t>
      </w:r>
    </w:p>
    <w:p>
      <w:pPr>
        <w:pStyle w:val="ListParagraph"/>
        <w:numPr>
          <w:ilvl w:val="0"/>
          <w:numId w:val="2"/>
        </w:numPr>
        <w:spacing w:after="80"/>
      </w:pPr>
      <w:r>
        <w:rPr>
          <w:rFonts w:ascii="Arial" w:cs="Arial" w:eastAsia="Arial" w:hAnsi="Arial"/>
          <w:color w:val="374151"/>
          <w:sz w:val="22"/>
          <w:szCs w:val="22"/>
        </w:rPr>
        <w:t xml:space="preserve">页面标题：复盘统计</w:t>
      </w:r>
    </w:p>
    <w:p>
      <w:pPr>
        <w:pStyle w:val="ListParagraph"/>
        <w:numPr>
          <w:ilvl w:val="0"/>
          <w:numId w:val="2"/>
        </w:numPr>
        <w:spacing w:after="80"/>
      </w:pPr>
      <w:r>
        <w:rPr>
          <w:rFonts w:ascii="Arial" w:cs="Arial" w:eastAsia="Arial" w:hAnsi="Arial"/>
          <w:color w:val="374151"/>
          <w:sz w:val="22"/>
          <w:szCs w:val="22"/>
        </w:rPr>
        <w:t xml:space="preserve">选择课程：左右级联选择器，左侧选项目组，右侧选具体期次，支持搜索，最多同时选 5 个课程</w:t>
      </w:r>
    </w:p>
    <w:p>
      <w:pPr>
        <w:pStyle w:val="ListParagraph"/>
        <w:numPr>
          <w:ilvl w:val="0"/>
          <w:numId w:val="2"/>
        </w:numPr>
        <w:spacing w:after="80"/>
      </w:pPr>
      <w:r>
        <w:rPr>
          <w:rFonts w:ascii="Arial" w:cs="Arial" w:eastAsia="Arial" w:hAnsi="Arial"/>
          <w:color w:val="374151"/>
          <w:sz w:val="22"/>
          <w:szCs w:val="22"/>
        </w:rPr>
        <w:t xml:space="preserve">开启会议：一键创建润泽园视频会议</w:t>
      </w:r>
    </w:p>
    <w:p>
      <w:pPr>
        <w:pStyle w:val="ListParagraph"/>
        <w:numPr>
          <w:ilvl w:val="0"/>
          <w:numId w:val="2"/>
        </w:numPr>
        <w:spacing w:after="80"/>
      </w:pPr>
      <w:r>
        <w:rPr>
          <w:rFonts w:ascii="Arial" w:cs="Arial" w:eastAsia="Arial" w:hAnsi="Arial"/>
          <w:color w:val="374151"/>
          <w:sz w:val="22"/>
          <w:szCs w:val="22"/>
        </w:rPr>
        <w:t xml:space="preserve">导出：导出当前视图数据</w:t>
      </w:r>
    </w:p>
    <w:p>
      <w:pPr>
        <w:pStyle w:val="ListParagraph"/>
        <w:numPr>
          <w:ilvl w:val="0"/>
          <w:numId w:val="2"/>
        </w:numPr>
        <w:spacing w:after="80"/>
      </w:pPr>
      <w:r>
        <w:rPr>
          <w:rFonts w:ascii="Arial" w:cs="Arial" w:eastAsia="Arial" w:hAnsi="Arial"/>
          <w:color w:val="374151"/>
          <w:sz w:val="22"/>
          <w:szCs w:val="22"/>
        </w:rPr>
        <w:t xml:space="preserve">上传参考目标：先选择目标课程，再上传 .xlsx / .xls / .csv 格式文件</w:t>
      </w:r>
    </w:p>
    <w:p>
      <w:pPr>
        <w:pStyle w:val="ListParagraph"/>
        <w:numPr>
          <w:ilvl w:val="0"/>
          <w:numId w:val="2"/>
        </w:numPr>
        <w:spacing w:after="80"/>
      </w:pPr>
      <w:r>
        <w:rPr>
          <w:rFonts w:ascii="Arial" w:cs="Arial" w:eastAsia="Arial" w:hAnsi="Arial"/>
          <w:color w:val="374151"/>
          <w:sz w:val="22"/>
          <w:szCs w:val="22"/>
        </w:rPr>
        <w:t xml:space="preserve">列设置：自定义显示哪些指标列</w:t>
      </w:r>
    </w:p>
    <w:p>
      <w:pPr>
        <w:pStyle w:val="Heading2"/>
        <w:spacing w:after="160" w:before="280"/>
      </w:pPr>
      <w:r>
        <w:rPr>
          <w:rFonts w:ascii="Arial" w:cs="Arial" w:eastAsia="Arial" w:hAnsi="Arial"/>
          <w:b/>
          <w:bCs/>
          <w:color w:val="3D5AFE"/>
          <w:sz w:val="28"/>
          <w:szCs w:val="28"/>
        </w:rPr>
        <w:t xml:space="preserve">2.2 左侧导航栏</w:t>
      </w:r>
    </w:p>
    <w:p>
      <w:pPr>
        <w:pStyle w:val="ListParagraph"/>
        <w:numPr>
          <w:ilvl w:val="0"/>
          <w:numId w:val="2"/>
        </w:numPr>
        <w:spacing w:after="80"/>
      </w:pPr>
      <w:r>
        <w:rPr>
          <w:rFonts w:ascii="Arial" w:cs="Arial" w:eastAsia="Arial" w:hAnsi="Arial"/>
          <w:color w:val="374151"/>
          <w:sz w:val="22"/>
          <w:szCs w:val="22"/>
        </w:rPr>
        <w:t xml:space="preserve">品牌标识与系统名称</w:t>
      </w:r>
    </w:p>
    <w:p>
      <w:pPr>
        <w:pStyle w:val="ListParagraph"/>
        <w:numPr>
          <w:ilvl w:val="0"/>
          <w:numId w:val="2"/>
        </w:numPr>
        <w:spacing w:after="80"/>
      </w:pPr>
      <w:r>
        <w:rPr>
          <w:rFonts w:ascii="Arial" w:cs="Arial" w:eastAsia="Arial" w:hAnsi="Arial"/>
          <w:color w:val="374151"/>
          <w:sz w:val="22"/>
          <w:szCs w:val="22"/>
        </w:rPr>
        <w:t xml:space="preserve">导航菜单（当前页：复盘统计）</w:t>
      </w:r>
    </w:p>
    <w:p>
      <w:pPr>
        <w:pStyle w:val="ListParagraph"/>
        <w:numPr>
          <w:ilvl w:val="0"/>
          <w:numId w:val="2"/>
        </w:numPr>
        <w:spacing w:after="80"/>
      </w:pPr>
      <w:r>
        <w:rPr>
          <w:rFonts w:ascii="Arial" w:cs="Arial" w:eastAsia="Arial" w:hAnsi="Arial"/>
          <w:color w:val="374151"/>
          <w:sz w:val="22"/>
          <w:szCs w:val="22"/>
        </w:rPr>
        <w:t xml:space="preserve">底部：当前登录用户切换</w:t>
      </w:r>
    </w:p>
    <w:p>
      <w:pPr>
        <w:pStyle w:val="Heading2"/>
        <w:spacing w:after="160" w:before="280"/>
      </w:pPr>
      <w:r>
        <w:rPr>
          <w:rFonts w:ascii="Arial" w:cs="Arial" w:eastAsia="Arial" w:hAnsi="Arial"/>
          <w:b/>
          <w:bCs/>
          <w:color w:val="3D5AFE"/>
          <w:sz w:val="28"/>
          <w:szCs w:val="28"/>
        </w:rPr>
        <w:t xml:space="preserve">2.3 数据表格区域</w:t>
      </w:r>
    </w:p>
    <w:p>
      <w:pPr>
        <w:spacing w:after="100"/>
      </w:pPr>
      <w:r>
        <w:rPr>
          <w:rFonts w:ascii="Arial" w:cs="Arial" w:eastAsia="Arial" w:hAnsi="Arial"/>
          <w:b w:val="false"/>
          <w:bCs w:val="false"/>
          <w:color w:val="374151"/>
          <w:sz w:val="22"/>
          <w:szCs w:val="22"/>
        </w:rPr>
        <w:t xml:space="preserve">数据表格是产品核心区域，分为三部分：</w:t>
      </w:r>
    </w:p>
    <w:p>
      <w:pPr>
        <w:pStyle w:val="ListParagraph"/>
        <w:numPr>
          <w:ilvl w:val="0"/>
          <w:numId w:val="2"/>
        </w:numPr>
        <w:spacing w:after="80"/>
      </w:pPr>
      <w:r>
        <w:rPr>
          <w:rFonts w:ascii="Arial" w:cs="Arial" w:eastAsia="Arial" w:hAnsi="Arial"/>
          <w:color w:val="374151"/>
          <w:sz w:val="22"/>
          <w:szCs w:val="22"/>
        </w:rPr>
        <w:t xml:space="preserve">表头第一行：指标分组（正价学员 / 升班学员 / 主会场 / 本省分会场 / 当前策略 / 需要支持 / 指导建议）</w:t>
      </w:r>
    </w:p>
    <w:p>
      <w:pPr>
        <w:pStyle w:val="ListParagraph"/>
        <w:numPr>
          <w:ilvl w:val="0"/>
          <w:numId w:val="2"/>
        </w:numPr>
        <w:spacing w:after="80"/>
      </w:pPr>
      <w:r>
        <w:rPr>
          <w:rFonts w:ascii="Arial" w:cs="Arial" w:eastAsia="Arial" w:hAnsi="Arial"/>
          <w:color w:val="374151"/>
          <w:sz w:val="22"/>
          <w:szCs w:val="22"/>
        </w:rPr>
        <w:t xml:space="preserve">表头第二行：具体字段名称，含 ? 图标，鼠标悬停显示字段口径说明</w:t>
      </w:r>
    </w:p>
    <w:p>
      <w:pPr>
        <w:pStyle w:val="ListParagraph"/>
        <w:numPr>
          <w:ilvl w:val="0"/>
          <w:numId w:val="2"/>
        </w:numPr>
        <w:spacing w:after="80"/>
      </w:pPr>
      <w:r>
        <w:rPr>
          <w:rFonts w:ascii="Arial" w:cs="Arial" w:eastAsia="Arial" w:hAnsi="Arial"/>
          <w:color w:val="374151"/>
          <w:sz w:val="22"/>
          <w:szCs w:val="22"/>
        </w:rPr>
        <w:t xml:space="preserve">数据行：层级树形结构，可逐级展开（总计 → 小组 → 省份 → 城市组 → 人员）</w:t>
      </w:r>
    </w:p>
    <w:p>
      <w:pPr>
        <w:pStyle w:val="Heading2"/>
        <w:spacing w:after="160" w:before="280"/>
      </w:pPr>
      <w:r>
        <w:rPr>
          <w:rFonts w:ascii="Arial" w:cs="Arial" w:eastAsia="Arial" w:hAnsi="Arial"/>
          <w:b/>
          <w:bCs/>
          <w:color w:val="3D5AFE"/>
          <w:sz w:val="28"/>
          <w:szCs w:val="28"/>
        </w:rPr>
        <w:t xml:space="preserve">2.4 组织架构层级</w:t>
      </w:r>
    </w:p>
    <w:p>
      <w:pPr>
        <w:spacing w:after="100"/>
      </w:pPr>
      <w:r>
        <w:rPr>
          <w:rFonts w:ascii="Arial" w:cs="Arial" w:eastAsia="Arial" w:hAnsi="Arial"/>
          <w:b w:val="false"/>
          <w:bCs w:val="false"/>
          <w:color w:val="374151"/>
          <w:sz w:val="22"/>
          <w:szCs w:val="22"/>
        </w:rPr>
        <w:t xml:space="preserve">数据按五层组织架构展示，每层独立标签标识，支持单独展开 / 收起：</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层级</w:t>
            </w:r>
          </w:p>
        </w:tc>
        <w:tc>
          <w:tcPr>
            <w:tcW w:type="dxa" w:w="18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标签</w:t>
            </w:r>
          </w:p>
        </w:tc>
        <w:tc>
          <w:tcPr>
            <w:tcW w:type="dxa" w:w="60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说明</w:t>
            </w:r>
          </w:p>
        </w:tc>
      </w:tr>
      <w:tr>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第 1 层</w:t>
            </w:r>
          </w:p>
        </w:tc>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汇总</w:t>
            </w:r>
          </w:p>
        </w:tc>
        <w:tc>
          <w:tcPr>
            <w:tcW w:type="dxa" w:w="60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全国总计行，始终展示</w:t>
            </w:r>
          </w:p>
        </w:tc>
      </w:tr>
      <w:tr>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第 2 层</w:t>
            </w:r>
          </w:p>
        </w:tc>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小组</w:t>
            </w:r>
          </w:p>
        </w:tc>
        <w:tc>
          <w:tcPr>
            <w:tcW w:type="dxa" w:w="60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销售团队小组，如：自强不息、尽锐出战</w:t>
            </w:r>
          </w:p>
        </w:tc>
      </w:tr>
      <w:tr>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第 3 层</w:t>
            </w:r>
          </w:p>
        </w:tc>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省份</w:t>
            </w:r>
          </w:p>
        </w:tc>
        <w:tc>
          <w:tcPr>
            <w:tcW w:type="dxa" w:w="60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省级行政区，如：浙江省、广东省</w:t>
            </w:r>
          </w:p>
        </w:tc>
      </w:tr>
      <w:tr>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第 4 层</w:t>
            </w:r>
          </w:p>
        </w:tc>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城市组</w:t>
            </w:r>
          </w:p>
        </w:tc>
        <w:tc>
          <w:tcPr>
            <w:tcW w:type="dxa" w:w="60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跨城市区域分组，如：广州、肇庆、清远、云浮</w:t>
            </w:r>
          </w:p>
        </w:tc>
      </w:tr>
      <w:tr>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第 5 层</w:t>
            </w:r>
          </w:p>
        </w:tc>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人员</w:t>
            </w:r>
          </w:p>
        </w:tc>
        <w:tc>
          <w:tcPr>
            <w:tcW w:type="dxa" w:w="60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具体成长顾问个人</w:t>
            </w:r>
          </w:p>
        </w:tc>
      </w:tr>
    </w:tbl>
    <w:p>
      <w:r>
        <w:t xml:space="preserve"/>
      </w:r>
    </w:p>
    <w:p>
      <w:pPr>
        <w:spacing w:after="100"/>
      </w:pPr>
      <w:r>
        <w:rPr>
          <w:rFonts w:ascii="Arial" w:cs="Arial" w:eastAsia="Arial" w:hAnsi="Arial"/>
          <w:b w:val="false"/>
          <w:bCs w:val="false"/>
          <w:color w:val="374151"/>
          <w:sz w:val="22"/>
          <w:szCs w:val="22"/>
        </w:rPr>
        <w:t xml:space="preserve">顶部组织架构栏提供「小组 / 省份 / 城市组 / 人员」快捷按钮，点击可一键展开至对应层级。所有层级按照正价学员「报名完成」数倒序排列。</w:t>
      </w:r>
    </w:p>
    <w:p>
      <w:pPr>
        <w:spacing w:after="100"/>
      </w:pPr>
      <w:r>
        <w:rPr>
          <w:rFonts w:ascii="Arial" w:cs="Arial" w:eastAsia="Arial" w:hAnsi="Arial"/>
          <w:b w:val="false"/>
          <w:bCs w:val="false"/>
          <w:color w:val="374151"/>
          <w:sz w:val="22"/>
          <w:szCs w:val="22"/>
        </w:rPr>
        <w:t xml:space="preserve">省份行的「报名完成」列显示进度条，以全国所有省份中最大完成量为满格基准，直观对比各省进度。</w:t>
      </w:r>
    </w:p>
    <w:p>
      <w:r>
        <w:br w:type="page"/>
      </w:r>
    </w:p>
    <w:p>
      <w:pPr>
        <w:pStyle w:val="Heading1"/>
        <w:spacing w:after="200" w:before="360"/>
      </w:pPr>
      <w:r>
        <w:rPr>
          <w:rFonts w:ascii="Arial" w:cs="Arial" w:eastAsia="Arial" w:hAnsi="Arial"/>
          <w:b/>
          <w:bCs/>
          <w:color w:val="111827"/>
          <w:sz w:val="36"/>
          <w:szCs w:val="36"/>
        </w:rPr>
        <w:t xml:space="preserve">三、课程选择器</w:t>
      </w:r>
    </w:p>
    <w:p>
      <w:pPr>
        <w:pStyle w:val="Heading2"/>
        <w:spacing w:after="160" w:before="280"/>
      </w:pPr>
      <w:r>
        <w:rPr>
          <w:rFonts w:ascii="Arial" w:cs="Arial" w:eastAsia="Arial" w:hAnsi="Arial"/>
          <w:b/>
          <w:bCs/>
          <w:color w:val="3D5AFE"/>
          <w:sz w:val="28"/>
          <w:szCs w:val="28"/>
        </w:rPr>
        <w:t xml:space="preserve">3.1 交互方式</w:t>
      </w:r>
    </w:p>
    <w:p>
      <w:pPr>
        <w:spacing w:after="100"/>
      </w:pPr>
      <w:r>
        <w:rPr>
          <w:rFonts w:ascii="Arial" w:cs="Arial" w:eastAsia="Arial" w:hAnsi="Arial"/>
          <w:b w:val="false"/>
          <w:bCs w:val="false"/>
          <w:color w:val="374151"/>
          <w:sz w:val="22"/>
          <w:szCs w:val="22"/>
        </w:rPr>
        <w:t xml:space="preserve">采用左右两列级联布局：</w:t>
      </w:r>
    </w:p>
    <w:p>
      <w:pPr>
        <w:pStyle w:val="ListParagraph"/>
        <w:numPr>
          <w:ilvl w:val="0"/>
          <w:numId w:val="2"/>
        </w:numPr>
        <w:spacing w:after="80"/>
      </w:pPr>
      <w:r>
        <w:rPr>
          <w:rFonts w:ascii="Arial" w:cs="Arial" w:eastAsia="Arial" w:hAnsi="Arial"/>
          <w:color w:val="374151"/>
          <w:sz w:val="22"/>
          <w:szCs w:val="22"/>
        </w:rPr>
        <w:t xml:space="preserve">左列：项目组列表，显示彩色圆点标识 + 项目组名称 + 已选期次数量徽标</w:t>
      </w:r>
    </w:p>
    <w:p>
      <w:pPr>
        <w:pStyle w:val="ListParagraph"/>
        <w:numPr>
          <w:ilvl w:val="0"/>
          <w:numId w:val="2"/>
        </w:numPr>
        <w:spacing w:after="80"/>
      </w:pPr>
      <w:r>
        <w:rPr>
          <w:rFonts w:ascii="Arial" w:cs="Arial" w:eastAsia="Arial" w:hAnsi="Arial"/>
          <w:color w:val="374151"/>
          <w:sz w:val="22"/>
          <w:szCs w:val="22"/>
        </w:rPr>
        <w:t xml:space="preserve">右列：所选项目组下的具体课程期次，带勾选框</w:t>
      </w:r>
    </w:p>
    <w:p>
      <w:pPr>
        <w:pStyle w:val="ListParagraph"/>
        <w:numPr>
          <w:ilvl w:val="0"/>
          <w:numId w:val="2"/>
        </w:numPr>
        <w:spacing w:after="80"/>
      </w:pPr>
      <w:r>
        <w:rPr>
          <w:rFonts w:ascii="Arial" w:cs="Arial" w:eastAsia="Arial" w:hAnsi="Arial"/>
          <w:color w:val="374151"/>
          <w:sz w:val="22"/>
          <w:szCs w:val="22"/>
        </w:rPr>
        <w:t xml:space="preserve">顶部搜索框：支持按项目组名称或课程名称实时过滤</w:t>
      </w:r>
    </w:p>
    <w:p>
      <w:pPr>
        <w:pStyle w:val="ListParagraph"/>
        <w:numPr>
          <w:ilvl w:val="0"/>
          <w:numId w:val="2"/>
        </w:numPr>
        <w:spacing w:after="80"/>
      </w:pPr>
      <w:r>
        <w:rPr>
          <w:rFonts w:ascii="Arial" w:cs="Arial" w:eastAsia="Arial" w:hAnsi="Arial"/>
          <w:color w:val="374151"/>
          <w:sz w:val="22"/>
          <w:szCs w:val="22"/>
        </w:rPr>
        <w:t xml:space="preserve">已选计数：实时显示「已选 X/5」</w:t>
      </w:r>
    </w:p>
    <w:p>
      <w:pPr>
        <w:pStyle w:val="Heading2"/>
        <w:spacing w:after="160" w:before="280"/>
      </w:pPr>
      <w:r>
        <w:rPr>
          <w:rFonts w:ascii="Arial" w:cs="Arial" w:eastAsia="Arial" w:hAnsi="Arial"/>
          <w:b/>
          <w:bCs/>
          <w:color w:val="3D5AFE"/>
          <w:sz w:val="28"/>
          <w:szCs w:val="28"/>
        </w:rPr>
        <w:t xml:space="preserve">3.2 选择规则</w:t>
      </w:r>
    </w:p>
    <w:p>
      <w:pPr>
        <w:pStyle w:val="ListParagraph"/>
        <w:numPr>
          <w:ilvl w:val="0"/>
          <w:numId w:val="2"/>
        </w:numPr>
        <w:spacing w:after="80"/>
      </w:pPr>
      <w:r>
        <w:rPr>
          <w:rFonts w:ascii="Arial" w:cs="Arial" w:eastAsia="Arial" w:hAnsi="Arial"/>
          <w:color w:val="374151"/>
          <w:sz w:val="22"/>
          <w:szCs w:val="22"/>
        </w:rPr>
        <w:t xml:space="preserve">最多同时选择 5 个课程</w:t>
      </w:r>
    </w:p>
    <w:p>
      <w:pPr>
        <w:pStyle w:val="ListParagraph"/>
        <w:numPr>
          <w:ilvl w:val="0"/>
          <w:numId w:val="2"/>
        </w:numPr>
        <w:spacing w:after="80"/>
      </w:pPr>
      <w:r>
        <w:rPr>
          <w:rFonts w:ascii="Arial" w:cs="Arial" w:eastAsia="Arial" w:hAnsi="Arial"/>
          <w:color w:val="374151"/>
          <w:sz w:val="22"/>
          <w:szCs w:val="22"/>
        </w:rPr>
        <w:t xml:space="preserve">至少保持 1 个课程被选中（不可全部取消）</w:t>
      </w:r>
    </w:p>
    <w:p>
      <w:pPr>
        <w:pStyle w:val="ListParagraph"/>
        <w:numPr>
          <w:ilvl w:val="0"/>
          <w:numId w:val="2"/>
        </w:numPr>
        <w:spacing w:after="80"/>
      </w:pPr>
      <w:r>
        <w:rPr>
          <w:rFonts w:ascii="Arial" w:cs="Arial" w:eastAsia="Arial" w:hAnsi="Arial"/>
          <w:color w:val="374151"/>
          <w:sz w:val="22"/>
          <w:szCs w:val="22"/>
        </w:rPr>
        <w:t xml:space="preserve">选中数量达到上限时，其余课程变灰不可点击，并弹出提示</w:t>
      </w:r>
    </w:p>
    <w:p>
      <w:pPr>
        <w:pStyle w:val="ListParagraph"/>
        <w:numPr>
          <w:ilvl w:val="0"/>
          <w:numId w:val="2"/>
        </w:numPr>
        <w:spacing w:after="80"/>
      </w:pPr>
      <w:r>
        <w:rPr>
          <w:rFonts w:ascii="Arial" w:cs="Arial" w:eastAsia="Arial" w:hAnsi="Arial"/>
          <w:color w:val="374151"/>
          <w:sz w:val="22"/>
          <w:szCs w:val="22"/>
        </w:rPr>
        <w:t xml:space="preserve">选择变更后，表格数据立即更新，无需点击确认</w:t>
      </w:r>
    </w:p>
    <w:p>
      <w:pPr>
        <w:pStyle w:val="Heading2"/>
        <w:spacing w:after="160" w:before="280"/>
      </w:pPr>
      <w:r>
        <w:rPr>
          <w:rFonts w:ascii="Arial" w:cs="Arial" w:eastAsia="Arial" w:hAnsi="Arial"/>
          <w:b/>
          <w:bCs/>
          <w:color w:val="3D5AFE"/>
          <w:sz w:val="28"/>
          <w:szCs w:val="28"/>
        </w:rPr>
        <w:t xml:space="preserve">3.3 多课程对比模式</w:t>
      </w:r>
    </w:p>
    <w:p>
      <w:pPr>
        <w:spacing w:after="100"/>
      </w:pPr>
      <w:r>
        <w:rPr>
          <w:rFonts w:ascii="Arial" w:cs="Arial" w:eastAsia="Arial" w:hAnsi="Arial"/>
          <w:b w:val="false"/>
          <w:bCs w:val="false"/>
          <w:color w:val="374151"/>
          <w:sz w:val="22"/>
          <w:szCs w:val="22"/>
        </w:rPr>
        <w:t xml:space="preserve">当选中 2 个及以上课程时，表头增加一行课程名称色块，各课程对应的指标列并排展示，方便横向对比不同期次数据。</w:t>
      </w:r>
    </w:p>
    <w:p>
      <w:pPr>
        <w:pStyle w:val="Heading2"/>
        <w:spacing w:after="160" w:before="280"/>
      </w:pPr>
      <w:r>
        <w:rPr>
          <w:rFonts w:ascii="Arial" w:cs="Arial" w:eastAsia="Arial" w:hAnsi="Arial"/>
          <w:b/>
          <w:bCs/>
          <w:color w:val="3D5AFE"/>
          <w:sz w:val="28"/>
          <w:szCs w:val="28"/>
        </w:rPr>
        <w:t xml:space="preserve">3.4 课程组织结构</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项目组</w:t>
            </w:r>
          </w:p>
        </w:tc>
        <w:tc>
          <w:tcPr>
            <w:tcW w:type="dxa" w:w="57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包含期次</w:t>
            </w:r>
          </w:p>
        </w:tc>
      </w:tr>
      <w:tr>
        <w:tc>
          <w:tcPr>
            <w:tcW w:type="dxa" w:w="36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战略领导力项目组</w:t>
            </w:r>
          </w:p>
        </w:tc>
        <w:tc>
          <w:tcPr>
            <w:tcW w:type="dxa" w:w="57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战略领导力第 27 / 28 / 29 / 30 期</w:t>
            </w:r>
          </w:p>
        </w:tc>
      </w:tr>
      <w:tr>
        <w:tc>
          <w:tcPr>
            <w:tcW w:type="dxa" w:w="36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经典一刻项目组</w:t>
            </w:r>
          </w:p>
        </w:tc>
        <w:tc>
          <w:tcPr>
            <w:tcW w:type="dxa" w:w="57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经典一刻第 1 / 2 / 3 期</w:t>
            </w:r>
          </w:p>
        </w:tc>
      </w:tr>
      <w:tr>
        <w:tc>
          <w:tcPr>
            <w:tcW w:type="dxa" w:w="36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案例100项目组</w:t>
            </w:r>
          </w:p>
        </w:tc>
        <w:tc>
          <w:tcPr>
            <w:tcW w:type="dxa" w:w="57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案例100第 1 / 2 / 3 季</w:t>
            </w:r>
          </w:p>
        </w:tc>
      </w:tr>
      <w:tr>
        <w:tc>
          <w:tcPr>
            <w:tcW w:type="dxa" w:w="36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战略一号班项目组</w:t>
            </w:r>
          </w:p>
        </w:tc>
        <w:tc>
          <w:tcPr>
            <w:tcW w:type="dxa" w:w="57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战略一号班第 1 / 2 / 3 期</w:t>
            </w:r>
          </w:p>
        </w:tc>
      </w:tr>
      <w:tr>
        <w:tc>
          <w:tcPr>
            <w:tcW w:type="dxa" w:w="36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共创会项目组</w:t>
            </w:r>
          </w:p>
        </w:tc>
        <w:tc>
          <w:tcPr>
            <w:tcW w:type="dxa" w:w="57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共创会第 36 / 37 / 38 期</w:t>
            </w:r>
          </w:p>
        </w:tc>
      </w:tr>
    </w:tbl>
    <w:p>
      <w:r>
        <w:t xml:space="preserve"/>
      </w:r>
    </w:p>
    <w:p>
      <w:r>
        <w:br w:type="page"/>
      </w:r>
    </w:p>
    <w:p>
      <w:pPr>
        <w:pStyle w:val="Heading1"/>
        <w:spacing w:after="200" w:before="360"/>
      </w:pPr>
      <w:r>
        <w:rPr>
          <w:rFonts w:ascii="Arial" w:cs="Arial" w:eastAsia="Arial" w:hAnsi="Arial"/>
          <w:b/>
          <w:bCs/>
          <w:color w:val="111827"/>
          <w:sz w:val="36"/>
          <w:szCs w:val="36"/>
        </w:rPr>
        <w:t xml:space="preserve">四、数据指标体系</w:t>
      </w:r>
    </w:p>
    <w:p>
      <w:pPr>
        <w:spacing w:after="100"/>
      </w:pPr>
      <w:r>
        <w:rPr>
          <w:rFonts w:ascii="Arial" w:cs="Arial" w:eastAsia="Arial" w:hAnsi="Arial"/>
          <w:b w:val="false"/>
          <w:bCs w:val="false"/>
          <w:color w:val="374151"/>
          <w:sz w:val="22"/>
          <w:szCs w:val="22"/>
        </w:rPr>
        <w:t xml:space="preserve">所有指标分为五大分组，默认展示的字段可通过右上角「列设置」自定义。字段表头右侧 ? 图标悬停可查看口径说明。红色字体为系统自动计算的预估类指标。</w:t>
      </w:r>
    </w:p>
    <w:p>
      <w:pPr>
        <w:pStyle w:val="Heading2"/>
        <w:spacing w:after="160" w:before="280"/>
      </w:pPr>
      <w:r>
        <w:rPr>
          <w:rFonts w:ascii="Arial" w:cs="Arial" w:eastAsia="Arial" w:hAnsi="Arial"/>
          <w:b/>
          <w:bCs/>
          <w:color w:val="3D5AFE"/>
          <w:sz w:val="28"/>
          <w:szCs w:val="28"/>
        </w:rPr>
        <w:t xml:space="preserve">4.1 正价学员</w:t>
      </w:r>
    </w:p>
    <w:p>
      <w:pPr>
        <w:spacing w:after="100"/>
      </w:pPr>
      <w:r>
        <w:rPr>
          <w:rFonts w:ascii="Arial" w:cs="Arial" w:eastAsia="Arial" w:hAnsi="Arial"/>
          <w:b w:val="false"/>
          <w:bCs w:val="false"/>
          <w:color w:val="374151"/>
          <w:sz w:val="22"/>
          <w:szCs w:val="22"/>
        </w:rPr>
        <w:t xml:space="preserve">追踪正价课报名招募的核心指标，含目标管理、名单转化、关键人带新三条链路。</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指标</w:t>
            </w:r>
          </w:p>
        </w:tc>
        <w:tc>
          <w:tcPr>
            <w:tcW w:type="dxa" w:w="1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center"/>
            </w:pPr>
            <w:r>
              <w:rPr>
                <w:rFonts w:ascii="Arial" w:cs="Arial" w:eastAsia="Arial" w:hAnsi="Arial"/>
                <w:b/>
                <w:bCs/>
                <w:color w:val="3D5AFE"/>
                <w:sz w:val="20"/>
                <w:szCs w:val="20"/>
              </w:rPr>
              <w:t xml:space="preserve">默认展示</w:t>
            </w:r>
          </w:p>
        </w:tc>
        <w:tc>
          <w:tcPr>
            <w:tcW w:type="dxa" w:w="59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口径说明</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参考目标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运营配置，配置最后一个组织架构层级的目标（同之前复盘统计中的上传目标功能一致）</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报名完成</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正价有效报名量，含转移转赠（不计算赠送单，不包含公司内部购买的优惠单）。完成量计算为下单人所在服务省市</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报名完成率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完成 / 目标，按百分比显示，≥80% 绿色，≥55% 橙色，&lt;55% 红色</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目标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成长顾问填写</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缺口</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目标 - 完成</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预估完成</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当前项目的长名单×0.2 + 短名单×0.5 + 带新量×0.8</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长短名单（包含带新）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长名单带新量 + 短名单带新量 + 关键人带新量 + 无关键人关系的长名单短名单带新量</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未激活人数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完成量 - 有权限正价学员数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签到的正价学员总数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签到数 / 目标数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长名单人数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长名单人数，支持点击跳转</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长名单正价报名数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长名单中购买正价课或激活正价课学员数（含转移转赠）</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长名单转化率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长名单正价报名数 / 长名单单数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短名单人数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短名单人数，支持点击跳转</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短名单正价报名数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短名单中购买正价课或激活正价课学员数（含转移转赠）</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短名单转化率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短名单正价报名数 / 短名单单数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关键人数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关键人数，支持点击跳转</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关键人带新转化率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关键人带新学员中购买正价课或激活正价课 / 长短名单中有关键人关系学员数</w:t>
            </w:r>
          </w:p>
        </w:tc>
      </w:tr>
    </w:tbl>
    <w:p>
      <w:r>
        <w:t xml:space="preserve"/>
      </w:r>
    </w:p>
    <w:p>
      <w:pPr>
        <w:pStyle w:val="Heading2"/>
        <w:spacing w:after="160" w:before="280"/>
      </w:pPr>
      <w:r>
        <w:rPr>
          <w:rFonts w:ascii="Arial" w:cs="Arial" w:eastAsia="Arial" w:hAnsi="Arial"/>
          <w:b/>
          <w:bCs/>
          <w:color w:val="3D5AFE"/>
          <w:sz w:val="28"/>
          <w:szCs w:val="28"/>
        </w:rPr>
        <w:t xml:space="preserve">4.2 升班学员</w:t>
      </w:r>
    </w:p>
    <w:p>
      <w:pPr>
        <w:spacing w:after="100"/>
      </w:pPr>
      <w:r>
        <w:rPr>
          <w:rFonts w:ascii="Arial" w:cs="Arial" w:eastAsia="Arial" w:hAnsi="Arial"/>
          <w:b w:val="false"/>
          <w:bCs w:val="false"/>
          <w:color w:val="374151"/>
          <w:sz w:val="22"/>
          <w:szCs w:val="22"/>
        </w:rPr>
        <w:t xml:space="preserve">追踪老学员升班（非正价购买）情况。</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指标</w:t>
            </w:r>
          </w:p>
        </w:tc>
        <w:tc>
          <w:tcPr>
            <w:tcW w:type="dxa" w:w="1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center"/>
            </w:pPr>
            <w:r>
              <w:rPr>
                <w:rFonts w:ascii="Arial" w:cs="Arial" w:eastAsia="Arial" w:hAnsi="Arial"/>
                <w:b/>
                <w:bCs/>
                <w:color w:val="3D5AFE"/>
                <w:sz w:val="20"/>
                <w:szCs w:val="20"/>
              </w:rPr>
              <w:t xml:space="preserve">默认展示</w:t>
            </w:r>
          </w:p>
        </w:tc>
        <w:tc>
          <w:tcPr>
            <w:tcW w:type="dxa" w:w="59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口径说明</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非正价下购买量（不包含赠送单）</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完成 / 目标</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目标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项目管理顾问填写</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缺口</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目标 - 完成</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往期老学员</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该项目关联的往期老学员的项目中对应匹配到该省市的人员的统计数据</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签到的正价学员总数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签到数 / 目标数</w:t>
            </w:r>
          </w:p>
        </w:tc>
      </w:tr>
    </w:tbl>
    <w:p>
      <w:r>
        <w:t xml:space="preserve"/>
      </w:r>
    </w:p>
    <w:p>
      <w:pPr>
        <w:pStyle w:val="Heading2"/>
        <w:spacing w:after="160" w:before="280"/>
      </w:pPr>
      <w:r>
        <w:rPr>
          <w:rFonts w:ascii="Arial" w:cs="Arial" w:eastAsia="Arial" w:hAnsi="Arial"/>
          <w:b/>
          <w:bCs/>
          <w:color w:val="3D5AFE"/>
          <w:sz w:val="28"/>
          <w:szCs w:val="28"/>
        </w:rPr>
        <w:t xml:space="preserve">4.3 主会场</w:t>
      </w:r>
    </w:p>
    <w:p>
      <w:pPr>
        <w:spacing w:after="100"/>
      </w:pPr>
      <w:r>
        <w:rPr>
          <w:rFonts w:ascii="Arial" w:cs="Arial" w:eastAsia="Arial" w:hAnsi="Arial"/>
          <w:b w:val="false"/>
          <w:bCs w:val="false"/>
          <w:color w:val="374151"/>
          <w:sz w:val="22"/>
          <w:szCs w:val="22"/>
        </w:rPr>
        <w:t xml:space="preserve">追踪审核进入各主会场的学员数量及会务费缴纳情况。有几个主会场就有几个分组，每个分组的指标均一致。</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指标</w:t>
            </w:r>
          </w:p>
        </w:tc>
        <w:tc>
          <w:tcPr>
            <w:tcW w:type="dxa" w:w="1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center"/>
            </w:pPr>
            <w:r>
              <w:rPr>
                <w:rFonts w:ascii="Arial" w:cs="Arial" w:eastAsia="Arial" w:hAnsi="Arial"/>
                <w:b/>
                <w:bCs/>
                <w:color w:val="3D5AFE"/>
                <w:sz w:val="20"/>
                <w:szCs w:val="20"/>
              </w:rPr>
              <w:t xml:space="preserve">默认展示</w:t>
            </w:r>
          </w:p>
        </w:tc>
        <w:tc>
          <w:tcPr>
            <w:tcW w:type="dxa" w:w="59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口径说明</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审核到该主会场且有课程权限数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审核到该主会场且有课程权限数 / 目标</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目标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设置的该主会场目标</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缺口</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目标 - 完成</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缴纳会务费数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审核到该主会场且有课程权限，且缴纳会务费数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审核到该主会场且有课程权限且签到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审核到该主会场且有课程权限且签到 / 目标</w:t>
            </w:r>
          </w:p>
        </w:tc>
      </w:tr>
    </w:tbl>
    <w:p>
      <w:r>
        <w:t xml:space="preserve"/>
      </w:r>
    </w:p>
    <w:p>
      <w:pPr>
        <w:pStyle w:val="Heading2"/>
        <w:spacing w:after="160" w:before="280"/>
      </w:pPr>
      <w:r>
        <w:rPr>
          <w:rFonts w:ascii="Arial" w:cs="Arial" w:eastAsia="Arial" w:hAnsi="Arial"/>
          <w:b/>
          <w:bCs/>
          <w:color w:val="3D5AFE"/>
          <w:sz w:val="28"/>
          <w:szCs w:val="28"/>
        </w:rPr>
        <w:t xml:space="preserve">4.4 本省分会场</w:t>
      </w:r>
    </w:p>
    <w:p>
      <w:pPr>
        <w:spacing w:after="100"/>
      </w:pPr>
      <w:r>
        <w:rPr>
          <w:rFonts w:ascii="Arial" w:cs="Arial" w:eastAsia="Arial" w:hAnsi="Arial"/>
          <w:b w:val="false"/>
          <w:bCs w:val="false"/>
          <w:color w:val="374151"/>
          <w:sz w:val="22"/>
          <w:szCs w:val="22"/>
        </w:rPr>
        <w:t xml:space="preserve">追踪各省分会场的参与人数及会务费情况。</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指标</w:t>
            </w:r>
          </w:p>
        </w:tc>
        <w:tc>
          <w:tcPr>
            <w:tcW w:type="dxa" w:w="1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center"/>
            </w:pPr>
            <w:r>
              <w:rPr>
                <w:rFonts w:ascii="Arial" w:cs="Arial" w:eastAsia="Arial" w:hAnsi="Arial"/>
                <w:b/>
                <w:bCs/>
                <w:color w:val="3D5AFE"/>
                <w:sz w:val="20"/>
                <w:szCs w:val="20"/>
              </w:rPr>
              <w:t xml:space="preserve">默认展示</w:t>
            </w:r>
          </w:p>
        </w:tc>
        <w:tc>
          <w:tcPr>
            <w:tcW w:type="dxa" w:w="59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口径说明</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审核到该省份分会场且有课程权限数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审核到该省份分会场且有课程权限数 / 目标数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目标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顾问填写的目标</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缺口</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目标 - 完成</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缴纳会务费数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审核到该省份分会场且有课程权限，且缴纳会务费数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签到数</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审核到该省份分会场且有课程权限且签到</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签到完成率</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审核到该省份分会场且有课程权限且签到 / 目标</w:t>
            </w:r>
          </w:p>
        </w:tc>
      </w:tr>
    </w:tbl>
    <w:p>
      <w:r>
        <w:t xml:space="preserve"/>
      </w:r>
    </w:p>
    <w:p>
      <w:pPr>
        <w:pStyle w:val="Heading2"/>
        <w:spacing w:after="160" w:before="280"/>
      </w:pPr>
      <w:r>
        <w:rPr>
          <w:rFonts w:ascii="Arial" w:cs="Arial" w:eastAsia="Arial" w:hAnsi="Arial"/>
          <w:b/>
          <w:bCs/>
          <w:color w:val="3D5AFE"/>
          <w:sz w:val="28"/>
          <w:szCs w:val="28"/>
        </w:rPr>
        <w:t xml:space="preserve">4.5 其他（文字类字段）</w:t>
      </w:r>
    </w:p>
    <w:p>
      <w:pPr>
        <w:spacing w:after="100"/>
      </w:pPr>
      <w:r>
        <w:rPr>
          <w:rFonts w:ascii="Arial" w:cs="Arial" w:eastAsia="Arial" w:hAnsi="Arial"/>
          <w:b w:val="false"/>
          <w:bCs w:val="false"/>
          <w:color w:val="374151"/>
          <w:sz w:val="22"/>
          <w:szCs w:val="22"/>
        </w:rPr>
        <w:t xml:space="preserve">以下字段仅在满足阶段设置条件后可编辑，内容按阶段独立存储。</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指标</w:t>
            </w:r>
          </w:p>
        </w:tc>
        <w:tc>
          <w:tcPr>
            <w:tcW w:type="dxa" w:w="12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center"/>
            </w:pPr>
            <w:r>
              <w:rPr>
                <w:rFonts w:ascii="Arial" w:cs="Arial" w:eastAsia="Arial" w:hAnsi="Arial"/>
                <w:b/>
                <w:bCs/>
                <w:color w:val="3D5AFE"/>
                <w:sz w:val="20"/>
                <w:szCs w:val="20"/>
              </w:rPr>
              <w:t xml:space="preserve">默认展示</w:t>
            </w:r>
          </w:p>
        </w:tc>
        <w:tc>
          <w:tcPr>
            <w:tcW w:type="dxa" w:w="59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口径说明</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当前策略</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当前阶段的策略/支持；不在该阶段时间时取时间最相邻的一个阶段。点击可以查看所有阶段的策略。必须设置阶段才可编辑且显示。</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需要支持</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当前阶段的需要支持；不在该阶段时间时取时间最相邻的一个阶段。点击可以查看所有阶段的需要支持字段。必须设置阶段才可编辑且显示。</w:t>
            </w:r>
          </w:p>
        </w:tc>
      </w:tr>
      <w:tr>
        <w:tc>
          <w:tcPr>
            <w:tcW w:type="dxa" w:w="2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指导建议</w:t>
            </w:r>
          </w:p>
        </w:tc>
        <w:tc>
          <w:tcPr>
            <w:tcW w:type="dxa" w:w="12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
            </w:r>
          </w:p>
        </w:tc>
        <w:tc>
          <w:tcPr>
            <w:tcW w:type="dxa" w:w="59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只对省份维度支持进行编辑指导建议。</w:t>
            </w:r>
          </w:p>
        </w:tc>
      </w:tr>
    </w:tbl>
    <w:p>
      <w:r>
        <w:t xml:space="preserve"/>
      </w:r>
    </w:p>
    <w:p>
      <w:pPr>
        <w:pStyle w:val="Heading2"/>
        <w:spacing w:after="160" w:before="280"/>
      </w:pPr>
      <w:r>
        <w:rPr>
          <w:rFonts w:ascii="Arial" w:cs="Arial" w:eastAsia="Arial" w:hAnsi="Arial"/>
          <w:b/>
          <w:bCs/>
          <w:color w:val="3D5AFE"/>
          <w:sz w:val="28"/>
          <w:szCs w:val="28"/>
        </w:rPr>
        <w:t xml:space="preserve">4.6 完成率颜色规则</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颜色</w:t>
            </w:r>
          </w:p>
        </w:tc>
        <w:tc>
          <w:tcPr>
            <w:tcW w:type="dxa" w:w="24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含义</w:t>
            </w:r>
          </w:p>
        </w:tc>
        <w:tc>
          <w:tcPr>
            <w:tcW w:type="dxa" w:w="51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阈值</w:t>
            </w:r>
          </w:p>
        </w:tc>
      </w:tr>
      <w:tr>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绿色</w:t>
            </w:r>
          </w:p>
        </w:tc>
        <w:tc>
          <w:tcPr>
            <w:tcW w:type="dxa" w:w="24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达标</w:t>
            </w:r>
          </w:p>
        </w:tc>
        <w:tc>
          <w:tcPr>
            <w:tcW w:type="dxa" w:w="51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80%</w:t>
            </w:r>
          </w:p>
        </w:tc>
      </w:tr>
      <w:tr>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橙色</w:t>
            </w:r>
          </w:p>
        </w:tc>
        <w:tc>
          <w:tcPr>
            <w:tcW w:type="dxa" w:w="24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需关注</w:t>
            </w:r>
          </w:p>
        </w:tc>
        <w:tc>
          <w:tcPr>
            <w:tcW w:type="dxa" w:w="51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55% ~ 79%</w:t>
            </w:r>
          </w:p>
        </w:tc>
      </w:tr>
      <w:tr>
        <w:tc>
          <w:tcPr>
            <w:tcW w:type="dxa" w:w="18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红色</w:t>
            </w:r>
          </w:p>
        </w:tc>
        <w:tc>
          <w:tcPr>
            <w:tcW w:type="dxa" w:w="24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严重滞后</w:t>
            </w:r>
          </w:p>
        </w:tc>
        <w:tc>
          <w:tcPr>
            <w:tcW w:type="dxa" w:w="51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55%</w:t>
            </w:r>
          </w:p>
        </w:tc>
      </w:tr>
    </w:tbl>
    <w:p>
      <w:r>
        <w:t xml:space="preserve"/>
      </w:r>
    </w:p>
    <w:p>
      <w:r>
        <w:br w:type="page"/>
      </w:r>
    </w:p>
    <w:p>
      <w:pPr>
        <w:pStyle w:val="Heading1"/>
        <w:spacing w:after="200" w:before="360"/>
      </w:pPr>
      <w:r>
        <w:rPr>
          <w:rFonts w:ascii="Arial" w:cs="Arial" w:eastAsia="Arial" w:hAnsi="Arial"/>
          <w:b/>
          <w:bCs/>
          <w:color w:val="111827"/>
          <w:sz w:val="36"/>
          <w:szCs w:val="36"/>
        </w:rPr>
        <w:t xml:space="preserve">五、功能操作说明</w:t>
      </w:r>
    </w:p>
    <w:p>
      <w:pPr>
        <w:pStyle w:val="Heading2"/>
        <w:spacing w:after="160" w:before="280"/>
      </w:pPr>
      <w:r>
        <w:rPr>
          <w:rFonts w:ascii="Arial" w:cs="Arial" w:eastAsia="Arial" w:hAnsi="Arial"/>
          <w:b/>
          <w:bCs/>
          <w:color w:val="3D5AFE"/>
          <w:sz w:val="28"/>
          <w:szCs w:val="28"/>
        </w:rPr>
        <w:t xml:space="preserve">5.1 只看我负责的地区</w:t>
      </w:r>
    </w:p>
    <w:p>
      <w:pPr>
        <w:spacing w:after="100"/>
      </w:pPr>
      <w:r>
        <w:rPr>
          <w:rFonts w:ascii="Arial" w:cs="Arial" w:eastAsia="Arial" w:hAnsi="Arial"/>
          <w:b w:val="false"/>
          <w:bCs w:val="false"/>
          <w:color w:val="374151"/>
          <w:sz w:val="22"/>
          <w:szCs w:val="22"/>
        </w:rPr>
        <w:t xml:space="preserve">点击表格区左上角「只看我负责的地区」按钮，切换为仅展示当前登录用户（成长顾问）所负责的省份和城市组数据，便于聚焦自身辖区。再次点击恢复全量视图。</w:t>
      </w:r>
    </w:p>
    <w:p>
      <w:pPr>
        <w:pStyle w:val="Heading2"/>
        <w:spacing w:after="160" w:before="280"/>
      </w:pPr>
      <w:r>
        <w:rPr>
          <w:rFonts w:ascii="Arial" w:cs="Arial" w:eastAsia="Arial" w:hAnsi="Arial"/>
          <w:b/>
          <w:bCs/>
          <w:color w:val="3D5AFE"/>
          <w:sz w:val="28"/>
          <w:szCs w:val="28"/>
        </w:rPr>
        <w:t xml:space="preserve">5.2 展开与收起</w:t>
      </w:r>
    </w:p>
    <w:p>
      <w:pPr>
        <w:spacing w:after="100"/>
      </w:pPr>
      <w:r>
        <w:rPr>
          <w:rFonts w:ascii="Arial" w:cs="Arial" w:eastAsia="Arial" w:hAnsi="Arial"/>
          <w:b w:val="false"/>
          <w:bCs w:val="false"/>
          <w:color w:val="374151"/>
          <w:sz w:val="22"/>
          <w:szCs w:val="22"/>
        </w:rPr>
        <w:t xml:space="preserve">每行左侧 +/− 按钮展开或收起下级数据。顶部提供快捷按钮可一键展开至指定层级（小组 / 省份 / 城市组 / 人员）。</w:t>
      </w:r>
    </w:p>
    <w:p>
      <w:pPr>
        <w:pStyle w:val="Heading2"/>
        <w:spacing w:after="160" w:before="280"/>
      </w:pPr>
      <w:r>
        <w:rPr>
          <w:rFonts w:ascii="Arial" w:cs="Arial" w:eastAsia="Arial" w:hAnsi="Arial"/>
          <w:b/>
          <w:bCs/>
          <w:color w:val="3D5AFE"/>
          <w:sz w:val="28"/>
          <w:szCs w:val="28"/>
        </w:rPr>
        <w:t xml:space="preserve">5.3 列设置</w:t>
      </w:r>
    </w:p>
    <w:p>
      <w:pPr>
        <w:spacing w:after="100"/>
      </w:pPr>
      <w:r>
        <w:rPr>
          <w:rFonts w:ascii="Arial" w:cs="Arial" w:eastAsia="Arial" w:hAnsi="Arial"/>
          <w:b w:val="false"/>
          <w:bCs w:val="false"/>
          <w:color w:val="374151"/>
          <w:sz w:val="22"/>
          <w:szCs w:val="22"/>
        </w:rPr>
        <w:t xml:space="preserve">点击右上角「列设置」齿轮按钮，在右侧抽屉面板中勾选 / 取消勾选各指标字段。每个分组提供「全选」按钮。点击「重置默认」恢复系统预设列，点击「确认应用」生效。</w:t>
      </w:r>
    </w:p>
    <w:p>
      <w:pPr>
        <w:pStyle w:val="Heading2"/>
        <w:spacing w:after="160" w:before="280"/>
      </w:pPr>
      <w:r>
        <w:rPr>
          <w:rFonts w:ascii="Arial" w:cs="Arial" w:eastAsia="Arial" w:hAnsi="Arial"/>
          <w:b/>
          <w:bCs/>
          <w:color w:val="3D5AFE"/>
          <w:sz w:val="28"/>
          <w:szCs w:val="28"/>
        </w:rPr>
        <w:t xml:space="preserve">5.4 开启会议</w:t>
      </w:r>
    </w:p>
    <w:p>
      <w:pPr>
        <w:spacing w:after="100"/>
      </w:pPr>
      <w:r>
        <w:rPr>
          <w:rFonts w:ascii="Arial" w:cs="Arial" w:eastAsia="Arial" w:hAnsi="Arial"/>
          <w:b w:val="false"/>
          <w:bCs w:val="false"/>
          <w:color w:val="374151"/>
          <w:sz w:val="22"/>
          <w:szCs w:val="22"/>
        </w:rPr>
        <w:t xml:space="preserve">点击「开启会议」填写会议名称后，系统自动创建会议并调起润泽园客户端（需提前安装）。会议时长固定 2 小时，云录制自动开启。</w:t>
      </w:r>
    </w:p>
    <w:p>
      <w:pPr>
        <w:pStyle w:val="Heading2"/>
        <w:spacing w:after="160" w:before="280"/>
      </w:pPr>
      <w:r>
        <w:rPr>
          <w:rFonts w:ascii="Arial" w:cs="Arial" w:eastAsia="Arial" w:hAnsi="Arial"/>
          <w:b/>
          <w:bCs/>
          <w:color w:val="3D5AFE"/>
          <w:sz w:val="28"/>
          <w:szCs w:val="28"/>
        </w:rPr>
        <w:t xml:space="preserve">5.5 上传参考目标</w:t>
      </w:r>
    </w:p>
    <w:p>
      <w:pPr>
        <w:spacing w:after="100"/>
      </w:pPr>
      <w:r>
        <w:rPr>
          <w:rFonts w:ascii="Arial" w:cs="Arial" w:eastAsia="Arial" w:hAnsi="Arial"/>
          <w:b w:val="false"/>
          <w:bCs w:val="false"/>
          <w:color w:val="374151"/>
          <w:sz w:val="22"/>
          <w:szCs w:val="22"/>
        </w:rPr>
        <w:t xml:space="preserve">操作步骤：</w:t>
      </w:r>
    </w:p>
    <w:p>
      <w:pPr>
        <w:pStyle w:val="ListParagraph"/>
        <w:numPr>
          <w:ilvl w:val="0"/>
          <w:numId w:val="2"/>
        </w:numPr>
        <w:spacing w:after="80"/>
      </w:pPr>
      <w:r>
        <w:rPr>
          <w:rFonts w:ascii="Arial" w:cs="Arial" w:eastAsia="Arial" w:hAnsi="Arial"/>
          <w:color w:val="374151"/>
          <w:sz w:val="22"/>
          <w:szCs w:val="22"/>
        </w:rPr>
        <w:t xml:space="preserve">点击「上传参考目标」</w:t>
      </w:r>
    </w:p>
    <w:p>
      <w:pPr>
        <w:pStyle w:val="ListParagraph"/>
        <w:numPr>
          <w:ilvl w:val="0"/>
          <w:numId w:val="2"/>
        </w:numPr>
        <w:spacing w:after="80"/>
      </w:pPr>
      <w:r>
        <w:rPr>
          <w:rFonts w:ascii="Arial" w:cs="Arial" w:eastAsia="Arial" w:hAnsi="Arial"/>
          <w:color w:val="374151"/>
          <w:sz w:val="22"/>
          <w:szCs w:val="22"/>
        </w:rPr>
        <w:t xml:space="preserve">在弹窗中选择目标课程（左侧项目组 → 右侧期次单选）</w:t>
      </w:r>
    </w:p>
    <w:p>
      <w:pPr>
        <w:pStyle w:val="ListParagraph"/>
        <w:numPr>
          <w:ilvl w:val="0"/>
          <w:numId w:val="2"/>
        </w:numPr>
        <w:spacing w:after="80"/>
      </w:pPr>
      <w:r>
        <w:rPr>
          <w:rFonts w:ascii="Arial" w:cs="Arial" w:eastAsia="Arial" w:hAnsi="Arial"/>
          <w:color w:val="374151"/>
          <w:sz w:val="22"/>
          <w:szCs w:val="22"/>
        </w:rPr>
        <w:t xml:space="preserve">可点击「下载模版」获取标准格式的 CSV 导入模版</w:t>
      </w:r>
    </w:p>
    <w:p>
      <w:pPr>
        <w:pStyle w:val="ListParagraph"/>
        <w:numPr>
          <w:ilvl w:val="0"/>
          <w:numId w:val="2"/>
        </w:numPr>
        <w:spacing w:after="80"/>
      </w:pPr>
      <w:r>
        <w:rPr>
          <w:rFonts w:ascii="Arial" w:cs="Arial" w:eastAsia="Arial" w:hAnsi="Arial"/>
          <w:color w:val="374151"/>
          <w:sz w:val="22"/>
          <w:szCs w:val="22"/>
        </w:rPr>
        <w:t xml:space="preserve">点击「上传文件」，选择本地 .xlsx / .xls / .csv 文件</w:t>
      </w:r>
    </w:p>
    <w:p>
      <w:pPr>
        <w:pStyle w:val="ListParagraph"/>
        <w:numPr>
          <w:ilvl w:val="0"/>
          <w:numId w:val="2"/>
        </w:numPr>
        <w:spacing w:after="80"/>
      </w:pPr>
      <w:r>
        <w:rPr>
          <w:rFonts w:ascii="Arial" w:cs="Arial" w:eastAsia="Arial" w:hAnsi="Arial"/>
          <w:color w:val="374151"/>
          <w:sz w:val="22"/>
          <w:szCs w:val="22"/>
        </w:rPr>
        <w:t xml:space="preserve">上传成功后弹出成功提示</w:t>
      </w:r>
    </w:p>
    <w:p>
      <w:pPr>
        <w:pStyle w:val="Heading2"/>
        <w:spacing w:after="160" w:before="280"/>
      </w:pPr>
      <w:r>
        <w:rPr>
          <w:rFonts w:ascii="Arial" w:cs="Arial" w:eastAsia="Arial" w:hAnsi="Arial"/>
          <w:b/>
          <w:bCs/>
          <w:color w:val="3D5AFE"/>
          <w:sz w:val="28"/>
          <w:szCs w:val="28"/>
        </w:rPr>
        <w:t xml:space="preserve">5.6 填写策略与建议</w:t>
      </w:r>
    </w:p>
    <w:p>
      <w:pPr>
        <w:spacing w:after="100"/>
      </w:pPr>
      <w:r>
        <w:rPr>
          <w:rFonts w:ascii="Arial" w:cs="Arial" w:eastAsia="Arial" w:hAnsi="Arial"/>
          <w:b w:val="false"/>
          <w:bCs w:val="false"/>
          <w:color w:val="374151"/>
          <w:sz w:val="22"/>
          <w:szCs w:val="22"/>
        </w:rPr>
        <w:t xml:space="preserve">点击「当前策略」「需要支持」列中的单元格（仅人员维度），进入内联编辑面板。可选择阶段、填写内容，历史阶段内容可查看。「指导建议」仅在省份维度可编辑。必须设置阶段后才可编辑且显示内容。</w:t>
      </w:r>
    </w:p>
    <w:p>
      <w:pPr>
        <w:pStyle w:val="Heading2"/>
        <w:spacing w:after="160" w:before="280"/>
      </w:pPr>
      <w:r>
        <w:rPr>
          <w:rFonts w:ascii="Arial" w:cs="Arial" w:eastAsia="Arial" w:hAnsi="Arial"/>
          <w:b/>
          <w:bCs/>
          <w:color w:val="3D5AFE"/>
          <w:sz w:val="28"/>
          <w:szCs w:val="28"/>
        </w:rPr>
        <w:t xml:space="preserve">5.7 导出</w:t>
      </w:r>
    </w:p>
    <w:p>
      <w:pPr>
        <w:spacing w:after="100"/>
      </w:pPr>
      <w:r>
        <w:rPr>
          <w:rFonts w:ascii="Arial" w:cs="Arial" w:eastAsia="Arial" w:hAnsi="Arial"/>
          <w:b w:val="false"/>
          <w:bCs w:val="false"/>
          <w:color w:val="374151"/>
          <w:sz w:val="22"/>
          <w:szCs w:val="22"/>
        </w:rPr>
        <w:t xml:space="preserve">点击「导出」按钮导出当前视图数据（含当前列设置、课程选择和展开状态）。</w:t>
      </w:r>
    </w:p>
    <w:p>
      <w:r>
        <w:br w:type="page"/>
      </w:r>
    </w:p>
    <w:p>
      <w:pPr>
        <w:pStyle w:val="Heading1"/>
        <w:spacing w:after="200" w:before="360"/>
      </w:pPr>
      <w:r>
        <w:rPr>
          <w:rFonts w:ascii="Arial" w:cs="Arial" w:eastAsia="Arial" w:hAnsi="Arial"/>
          <w:b/>
          <w:bCs/>
          <w:color w:val="111827"/>
          <w:sz w:val="36"/>
          <w:szCs w:val="36"/>
        </w:rPr>
        <w:t xml:space="preserve">六、数据说明</w:t>
      </w:r>
    </w:p>
    <w:p>
      <w:pPr>
        <w:pStyle w:val="Heading2"/>
        <w:spacing w:after="160" w:before="280"/>
      </w:pPr>
      <w:r>
        <w:rPr>
          <w:rFonts w:ascii="Arial" w:cs="Arial" w:eastAsia="Arial" w:hAnsi="Arial"/>
          <w:b/>
          <w:bCs/>
          <w:color w:val="3D5AFE"/>
          <w:sz w:val="28"/>
          <w:szCs w:val="28"/>
        </w:rPr>
        <w:t xml:space="preserve">6.1 数据汇总规则</w:t>
      </w:r>
    </w:p>
    <w:p>
      <w:pPr>
        <w:pStyle w:val="ListParagraph"/>
        <w:numPr>
          <w:ilvl w:val="0"/>
          <w:numId w:val="2"/>
        </w:numPr>
        <w:spacing w:after="80"/>
      </w:pPr>
      <w:r>
        <w:rPr>
          <w:rFonts w:ascii="Arial" w:cs="Arial" w:eastAsia="Arial" w:hAnsi="Arial"/>
          <w:color w:val="374151"/>
          <w:sz w:val="22"/>
          <w:szCs w:val="22"/>
        </w:rPr>
        <w:t xml:space="preserve">数值类字段（如完成数、人数）向上逐级汇总</w:t>
      </w:r>
    </w:p>
    <w:p>
      <w:pPr>
        <w:pStyle w:val="ListParagraph"/>
        <w:numPr>
          <w:ilvl w:val="0"/>
          <w:numId w:val="2"/>
        </w:numPr>
        <w:spacing w:after="80"/>
      </w:pPr>
      <w:r>
        <w:rPr>
          <w:rFonts w:ascii="Arial" w:cs="Arial" w:eastAsia="Arial" w:hAnsi="Arial"/>
          <w:color w:val="374151"/>
          <w:sz w:val="22"/>
          <w:szCs w:val="22"/>
        </w:rPr>
        <w:t xml:space="preserve">比率类字段（完成率、转化率）不汇总，由汇总后的分子 / 分母重新计算</w:t>
      </w:r>
    </w:p>
    <w:p>
      <w:pPr>
        <w:pStyle w:val="ListParagraph"/>
        <w:numPr>
          <w:ilvl w:val="0"/>
          <w:numId w:val="2"/>
        </w:numPr>
        <w:spacing w:after="80"/>
      </w:pPr>
      <w:r>
        <w:rPr>
          <w:rFonts w:ascii="Arial" w:cs="Arial" w:eastAsia="Arial" w:hAnsi="Arial"/>
          <w:color w:val="374151"/>
          <w:sz w:val="22"/>
          <w:szCs w:val="22"/>
        </w:rPr>
        <w:t xml:space="preserve">缺口字段 = 目标 - 完成（不汇总原始值，由汇总目标与完成重新计算）</w:t>
      </w:r>
    </w:p>
    <w:p>
      <w:pPr>
        <w:pStyle w:val="Heading2"/>
        <w:spacing w:after="160" w:before="280"/>
      </w:pPr>
      <w:r>
        <w:rPr>
          <w:rFonts w:ascii="Arial" w:cs="Arial" w:eastAsia="Arial" w:hAnsi="Arial"/>
          <w:b/>
          <w:bCs/>
          <w:color w:val="3D5AFE"/>
          <w:sz w:val="28"/>
          <w:szCs w:val="28"/>
        </w:rPr>
        <w:t xml:space="preserve">6.2 正价完成量计算口径</w:t>
      </w:r>
    </w:p>
    <w:p>
      <w:pPr>
        <w:spacing w:after="100"/>
      </w:pPr>
      <w:r>
        <w:rPr>
          <w:rFonts w:ascii="Arial" w:cs="Arial" w:eastAsia="Arial" w:hAnsi="Arial"/>
          <w:b w:val="false"/>
          <w:bCs w:val="false"/>
          <w:color w:val="374151"/>
          <w:sz w:val="22"/>
          <w:szCs w:val="22"/>
        </w:rPr>
        <w:t xml:space="preserve">正价有效报名量包含转移转赠订单，不计算赠送单，不包含公司内部购买的优惠单。完成量归属按下单人所在服务省市计算。</w:t>
      </w:r>
    </w:p>
    <w:p>
      <w:pPr>
        <w:pStyle w:val="Heading2"/>
        <w:spacing w:after="160" w:before="280"/>
      </w:pPr>
      <w:r>
        <w:rPr>
          <w:rFonts w:ascii="Arial" w:cs="Arial" w:eastAsia="Arial" w:hAnsi="Arial"/>
          <w:b/>
          <w:bCs/>
          <w:color w:val="3D5AFE"/>
          <w:sz w:val="28"/>
          <w:szCs w:val="28"/>
        </w:rPr>
        <w:t xml:space="preserve">6.3 省份进度条</w:t>
      </w:r>
    </w:p>
    <w:p>
      <w:pPr>
        <w:spacing w:after="100"/>
      </w:pPr>
      <w:r>
        <w:rPr>
          <w:rFonts w:ascii="Arial" w:cs="Arial" w:eastAsia="Arial" w:hAnsi="Arial"/>
          <w:b w:val="false"/>
          <w:bCs w:val="false"/>
          <w:color w:val="374151"/>
          <w:sz w:val="22"/>
          <w:szCs w:val="22"/>
        </w:rPr>
        <w:t xml:space="preserve">省份行「报名完成」列展示横向进度条，以全国所有省份中的最大完成量为满格基准（100%），各省份按实际完成量等比绘制。</w:t>
      </w:r>
    </w:p>
    <w:p>
      <w:pPr>
        <w:pStyle w:val="Heading2"/>
        <w:spacing w:after="160" w:before="280"/>
      </w:pPr>
      <w:r>
        <w:rPr>
          <w:rFonts w:ascii="Arial" w:cs="Arial" w:eastAsia="Arial" w:hAnsi="Arial"/>
          <w:b/>
          <w:bCs/>
          <w:color w:val="3D5AFE"/>
          <w:sz w:val="28"/>
          <w:szCs w:val="28"/>
        </w:rPr>
        <w:t xml:space="preserve">6.4 排序规则</w:t>
      </w:r>
    </w:p>
    <w:p>
      <w:pPr>
        <w:spacing w:after="100"/>
      </w:pPr>
      <w:r>
        <w:rPr>
          <w:rFonts w:ascii="Arial" w:cs="Arial" w:eastAsia="Arial" w:hAnsi="Arial"/>
          <w:b w:val="false"/>
          <w:bCs w:val="false"/>
          <w:color w:val="374151"/>
          <w:sz w:val="22"/>
          <w:szCs w:val="22"/>
        </w:rPr>
        <w:t xml:space="preserve">所有层级（小组、省份、城市组、人员）均按「正价学员报名完成」数倒序排列，完成量相同时保持原始顺序。</w:t>
      </w:r>
    </w:p>
    <w:p>
      <w:pPr>
        <w:pStyle w:val="Heading2"/>
        <w:spacing w:after="160" w:before="280"/>
      </w:pPr>
      <w:r>
        <w:rPr>
          <w:rFonts w:ascii="Arial" w:cs="Arial" w:eastAsia="Arial" w:hAnsi="Arial"/>
          <w:b/>
          <w:bCs/>
          <w:color w:val="3D5AFE"/>
          <w:sz w:val="28"/>
          <w:szCs w:val="28"/>
        </w:rPr>
        <w:t xml:space="preserve">6.5 多课程数据</w:t>
      </w:r>
    </w:p>
    <w:p>
      <w:pPr>
        <w:spacing w:after="100"/>
      </w:pPr>
      <w:r>
        <w:rPr>
          <w:rFonts w:ascii="Arial" w:cs="Arial" w:eastAsia="Arial" w:hAnsi="Arial"/>
          <w:b w:val="false"/>
          <w:bCs w:val="false"/>
          <w:color w:val="374151"/>
          <w:sz w:val="22"/>
          <w:szCs w:val="22"/>
        </w:rPr>
        <w:t xml:space="preserve">选择多个课程时，各课程数据独立展示在对应列中，不做跨课程合并汇总。</w:t>
      </w:r>
    </w:p>
    <w:p>
      <w:r>
        <w:br w:type="page"/>
      </w:r>
    </w:p>
    <w:p>
      <w:pPr>
        <w:pStyle w:val="Heading1"/>
        <w:spacing w:after="200" w:before="360"/>
      </w:pPr>
      <w:r>
        <w:rPr>
          <w:rFonts w:ascii="Arial" w:cs="Arial" w:eastAsia="Arial" w:hAnsi="Arial"/>
          <w:b/>
          <w:bCs/>
          <w:color w:val="111827"/>
          <w:sz w:val="36"/>
          <w:szCs w:val="36"/>
        </w:rPr>
        <w:t xml:space="preserve">七、版本说明</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rPr>
          <w:tblHeader/>
        </w:trPr>
        <w:tc>
          <w:tcPr>
            <w:tcW w:type="dxa" w:w="10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版本</w:t>
            </w:r>
          </w:p>
        </w:tc>
        <w:tc>
          <w:tcPr>
            <w:tcW w:type="dxa" w:w="150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日期</w:t>
            </w:r>
          </w:p>
        </w:tc>
        <w:tc>
          <w:tcPr>
            <w:tcW w:type="dxa" w:w="6860"/>
            <w:gridSpan w:val="1"/>
            <w:tcBorders>
              <w:top w:val="single" w:color="E0E4EF" w:sz="1"/>
              <w:left w:val="single" w:color="E0E4EF" w:sz="1"/>
              <w:bottom w:val="single" w:color="E0E4EF" w:sz="1"/>
              <w:right w:val="single" w:color="E0E4EF" w:sz="1"/>
            </w:tcBorders>
            <w:shd w:fill="EEF0FF" w:val="clear"/>
            <w:tcMar>
              <w:top w:type="dxa" w:w="80"/>
              <w:left w:type="dxa" w:w="120"/>
              <w:bottom w:type="dxa" w:w="80"/>
              <w:right w:type="dxa" w:w="120"/>
            </w:tcMar>
            <w:vAlign w:val="center"/>
          </w:tcPr>
          <w:p>
            <w:pPr>
              <w:jc w:val="left"/>
            </w:pPr>
            <w:r>
              <w:rPr>
                <w:rFonts w:ascii="Arial" w:cs="Arial" w:eastAsia="Arial" w:hAnsi="Arial"/>
                <w:b/>
                <w:bCs/>
                <w:color w:val="3D5AFE"/>
                <w:sz w:val="20"/>
                <w:szCs w:val="20"/>
              </w:rPr>
              <w:t xml:space="preserve">更新内容</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v1.0</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初版上线：正价学员/升班学员/会场指标体系，多层级树形表格，列设置，开启会议</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v1.1</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新增：正价学员省份进度条，所有层级按完成数倒序排列，上传参考目标按钮</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v1.2</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新增：完成率进度条（省份/城市层），红黄绿颜色阈值</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v1.3</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指标重构：正价学员合并长短名单/关键人指标；升班学员替代老学员命名</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v1.4</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课程选择器升级为左右级联，支持项目组 + 期次两级结构，最多 5 个</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v1.5</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上传参考目标先选课程；移除查询/重置冗余按钮；列设置其他分组样式统一</w:t>
            </w:r>
          </w:p>
        </w:tc>
      </w:tr>
      <w:tr>
        <w:tc>
          <w:tcPr>
            <w:tcW w:type="dxa" w:w="10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v1.6</w:t>
            </w:r>
          </w:p>
        </w:tc>
        <w:tc>
          <w:tcPr>
            <w:tcW w:type="dxa" w:w="150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2026-07-02</w:t>
            </w:r>
          </w:p>
        </w:tc>
        <w:tc>
          <w:tcPr>
            <w:tcW w:type="dxa" w:w="6860"/>
            <w:gridSpan w:val="1"/>
            <w:tcBorders>
              <w:top w:val="single" w:color="E0E4EF" w:sz="1"/>
              <w:left w:val="single" w:color="E0E4EF" w:sz="1"/>
              <w:bottom w:val="single" w:color="E0E4EF" w:sz="1"/>
              <w:right w:val="single" w:color="E0E4E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指标口径全面修订：完善各分组字段定义，主会场/分会场/文字字段精确口径</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F" w:sz="2" w:space="1"/>
      </w:pBdr>
      <w:jc w:val="center"/>
    </w:pPr>
    <w:r>
      <w:rPr>
        <w:rFonts w:ascii="Arial" w:cs="Arial" w:eastAsia="Arial" w:hAnsi="Arial"/>
        <w:color w:val="6B7280"/>
        <w:sz w:val="18"/>
        <w:szCs w:val="18"/>
      </w:rPr>
      <w:t xml:space="preserve">第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5AFE" w:sz="4" w:space="1"/>
      </w:pBdr>
      <w:jc w:val="right"/>
    </w:pPr>
    <w:r>
      <w:rPr>
        <w:rFonts w:ascii="Arial" w:cs="Arial" w:eastAsia="Arial" w:hAnsi="Arial"/>
        <w:color w:val="6B7280"/>
        <w:sz w:val="18"/>
        <w:szCs w:val="18"/>
      </w:rPr>
      <w:t xml:space="preserve">跟进看板 · 产品说明文档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F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2026-07-02T08:55:56.603Z</dcterms:created>
  <dcterms:modified xsi:type="dcterms:W3CDTF">2026-07-02T08:55:56.610Z</dcterms:modified>
</cp:coreProperties>
</file>

<file path=docProps/custom.xml><?xml version="1.0" encoding="utf-8"?>
<Properties xmlns="http://schemas.openxmlformats.org/officeDocument/2006/custom-properties" xmlns:vt="http://schemas.openxmlformats.org/officeDocument/2006/docPropsVTypes"/>
</file>