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Microsoft YaHei" w:hAnsi="Microsoft YaHei" w:eastAsia="Microsoft YaHei"/>
          <w:b/>
          <w:color w:val="1F4D78"/>
          <w:sz w:val="40"/>
        </w:rPr>
        <w:t>销售月报填写模板</w:t>
      </w:r>
    </w:p>
    <w:p>
      <w:pPr>
        <w:spacing w:after="240"/>
        <w:jc w:val="center"/>
      </w:pPr>
      <w:r>
        <w:rPr>
          <w:rFonts w:ascii="Microsoft YaHei" w:hAnsi="Microsoft YaHei" w:eastAsia="Microsoft YaHei"/>
          <w:b w:val="0"/>
          <w:color w:val="5B6573"/>
          <w:sz w:val="20"/>
        </w:rPr>
        <w:t>1.4 简版 | 先写清销售判断，再补充必要证据</w:t>
      </w:r>
    </w:p>
    <w:tbl>
      <w:tblPr>
        <w:tblW w:type="dxa" w:w="9355"/>
        <w:tblLayout w:type="fixed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填写原则：本月只需写清当前主销售口径、目标完成、关键渠道/客户/品项表现、问题归因、动作闭环和下月计划。退款、净成交额、毛利、库存、复购、品相分类和费用只在已有数据或本月问题直接相关时填写；不要为 AI 审核另做无关表格。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Microsoft YaHei" w:hAnsi="Microsoft YaHei" w:eastAsia="Microsoft YaHei"/>
          <w:b/>
          <w:color w:val="1F4D78"/>
          <w:sz w:val="26"/>
        </w:rPr>
        <w:t>一、基本信息与口径备注</w:t>
      </w:r>
    </w:p>
    <w:tbl>
      <w:tblPr>
        <w:tblStyle w:val="TableGrid"/>
        <w:tblW w:type="dxa" w:w="9296"/>
        <w:tblLayout w:type="fixed"/>
        <w:tblLook w:firstColumn="1" w:firstRow="1" w:lastColumn="0" w:lastRow="0" w:noHBand="0" w:noVBand="1" w:val="04A0"/>
      </w:tblPr>
      <w:tblGrid>
        <w:gridCol w:w="1360"/>
        <w:gridCol w:w="3288"/>
        <w:gridCol w:w="1360"/>
        <w:gridCol w:w="3288"/>
      </w:tblGrid>
      <w:tr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部门/小组</w:t>
            </w:r>
          </w:p>
        </w:tc>
        <w:tc>
          <w:tcPr>
            <w:tcW w:type="dxa" w:w="3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月份</w:t>
            </w:r>
          </w:p>
        </w:tc>
        <w:tc>
          <w:tcPr>
            <w:tcW w:type="dxa" w:w="3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当前主销售口径</w:t>
            </w:r>
          </w:p>
        </w:tc>
        <w:tc>
          <w:tcPr>
            <w:tcW w:type="dxa" w:w="3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例如：销售回款 / GSV / 平台销售额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本月目标</w:t>
            </w:r>
          </w:p>
        </w:tc>
        <w:tc>
          <w:tcPr>
            <w:tcW w:type="dxa" w:w="3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口径备注</w:t>
            </w:r>
          </w:p>
        </w:tc>
        <w:tc>
          <w:tcPr>
            <w:tcW w:type="dxa" w:w="3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本月销售额采用【  】口径；是否已含退款影响：【已含/未含/暂不确定】。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费用率分母（如有）</w:t>
            </w:r>
          </w:p>
        </w:tc>
        <w:tc>
          <w:tcPr>
            <w:tcW w:type="dxa" w:w="3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仅月报出现费用率/ROI/预算费用时填写。</w:t>
            </w:r>
          </w:p>
        </w:tc>
      </w:tr>
    </w:tbl>
    <w:p>
      <w:pPr>
        <w:spacing w:before="240" w:after="120"/>
      </w:pPr>
      <w:r>
        <w:rPr>
          <w:rFonts w:ascii="Microsoft YaHei" w:hAnsi="Microsoft YaHei" w:eastAsia="Microsoft YaHei"/>
          <w:b/>
          <w:color w:val="1F4D78"/>
          <w:sz w:val="26"/>
        </w:rPr>
        <w:t>二、本月经营结果</w:t>
      </w:r>
    </w:p>
    <w:tbl>
      <w:tblPr>
        <w:tblStyle w:val="TableGrid"/>
        <w:tblW w:type="dxa" w:w="8390"/>
        <w:tblLayout w:type="fixed"/>
        <w:tblLook w:firstColumn="1" w:firstRow="1" w:lastColumn="0" w:lastRow="0" w:noHBand="0" w:noVBand="1" w:val="04A0"/>
      </w:tblPr>
      <w:tblGrid>
        <w:gridCol w:w="1701"/>
        <w:gridCol w:w="1474"/>
        <w:gridCol w:w="1587"/>
        <w:gridCol w:w="1814"/>
        <w:gridCol w:w="1814"/>
      </w:tblGrid>
      <w:t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4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本月</w:t>
            </w:r>
          </w:p>
        </w:tc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目标/上月</w:t>
            </w:r>
          </w:p>
        </w:tc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变化或完成情况</w:t>
            </w:r>
          </w:p>
        </w:tc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当前主销售额</w:t>
            </w:r>
          </w:p>
        </w:tc>
        <w:tc>
          <w:tcPr>
            <w:tcW w:type="dxa" w:w="1474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1814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1814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关键渠道/客户/账号</w:t>
            </w:r>
          </w:p>
        </w:tc>
        <w:tc>
          <w:tcPr>
            <w:tcW w:type="dxa" w:w="1474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1814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1814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按实际填写 1-3 项</w:t>
            </w:r>
          </w:p>
        </w:tc>
      </w:tr>
      <w:tr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重点品项</w:t>
            </w:r>
          </w:p>
        </w:tc>
        <w:tc>
          <w:tcPr>
            <w:tcW w:type="dxa" w:w="1474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1814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1814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只写销售贡献和异常变化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Microsoft YaHei" w:hAnsi="Microsoft YaHei" w:eastAsia="Microsoft YaHei"/>
          <w:b/>
          <w:color w:val="1F4D78"/>
          <w:sz w:val="26"/>
        </w:rPr>
        <w:t>三、渠道/客户与重点品项分析</w:t>
      </w:r>
    </w:p>
    <w:tbl>
      <w:tblPr>
        <w:tblStyle w:val="TableGrid"/>
        <w:tblW w:type="dxa" w:w="8504"/>
        <w:tblLayout w:type="fixed"/>
        <w:tblLook w:firstColumn="1" w:firstRow="1" w:lastColumn="0" w:lastRow="0" w:noHBand="0" w:noVBand="1" w:val="04A0"/>
      </w:tblPr>
      <w:tblGrid>
        <w:gridCol w:w="1984"/>
        <w:gridCol w:w="2268"/>
        <w:gridCol w:w="2551"/>
        <w:gridCol w:w="1701"/>
      </w:tblGrid>
      <w:tr>
        <w:tc>
          <w:tcPr>
            <w:tcW w:type="dxa" w:w="1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对象</w:t>
            </w:r>
          </w:p>
        </w:tc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本月表现</w:t>
            </w:r>
          </w:p>
        </w:tc>
        <w:tc>
          <w:tcPr>
            <w:tcW w:type="dxa" w:w="2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增长/下滑原因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下月动作</w:t>
            </w:r>
          </w:p>
        </w:tc>
      </w:tr>
      <w:tr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渠道/客户/店铺/达人/品项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Microsoft YaHei" w:hAnsi="Microsoft YaHei" w:eastAsia="Microsoft YaHei"/>
          <w:b/>
          <w:color w:val="1F4D78"/>
          <w:sz w:val="26"/>
        </w:rPr>
        <w:t>四、本月重点工作与闭环</w:t>
      </w:r>
    </w:p>
    <w:tbl>
      <w:tblPr>
        <w:tblStyle w:val="TableGrid"/>
        <w:tblW w:type="dxa" w:w="8504"/>
        <w:tblLayout w:type="fixed"/>
        <w:tblLook w:firstColumn="1" w:firstRow="1" w:lastColumn="0" w:lastRow="0" w:noHBand="0" w:noVBand="1" w:val="04A0"/>
      </w:tblPr>
      <w:tblGrid>
        <w:gridCol w:w="2268"/>
        <w:gridCol w:w="1417"/>
        <w:gridCol w:w="2551"/>
        <w:gridCol w:w="2268"/>
      </w:tblGrid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重点工作</w:t>
            </w:r>
          </w:p>
        </w:tc>
        <w:tc>
          <w:tcPr>
            <w:tcW w:type="dxa" w:w="14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负责人</w:t>
            </w:r>
          </w:p>
        </w:tc>
        <w:tc>
          <w:tcPr>
            <w:tcW w:type="dxa" w:w="2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完成情况/结果</w:t>
            </w:r>
          </w:p>
        </w:tc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有效性与下月处理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141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141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Microsoft YaHei" w:hAnsi="Microsoft YaHei" w:eastAsia="Microsoft YaHei"/>
          <w:b/>
          <w:color w:val="1F4D78"/>
          <w:sz w:val="26"/>
        </w:rPr>
        <w:t>五、主要问题与真实归因</w:t>
      </w:r>
    </w:p>
    <w:tbl>
      <w:tblPr>
        <w:tblStyle w:val="TableGrid"/>
        <w:tblW w:type="dxa" w:w="8504"/>
        <w:tblLayout w:type="fixed"/>
        <w:tblLook w:firstColumn="1" w:firstRow="1" w:lastColumn="0" w:lastRow="0" w:noHBand="0" w:noVBand="1" w:val="04A0"/>
      </w:tblPr>
      <w:tblGrid>
        <w:gridCol w:w="1984"/>
        <w:gridCol w:w="2268"/>
        <w:gridCol w:w="2551"/>
        <w:gridCol w:w="1701"/>
      </w:tblGrid>
      <w:tr>
        <w:tc>
          <w:tcPr>
            <w:tcW w:type="dxa" w:w="1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证据或现象</w:t>
            </w:r>
          </w:p>
        </w:tc>
        <w:tc>
          <w:tcPr>
            <w:tcW w:type="dxa" w:w="2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真实归因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解决动作/协同</w:t>
            </w:r>
          </w:p>
        </w:tc>
      </w:tr>
      <w:tr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Microsoft YaHei" w:hAnsi="Microsoft YaHei" w:eastAsia="Microsoft YaHei"/>
          <w:b/>
          <w:color w:val="1F4D78"/>
          <w:sz w:val="26"/>
        </w:rPr>
        <w:t>六、下月计划</w:t>
      </w:r>
    </w:p>
    <w:tbl>
      <w:tblPr>
        <w:tblStyle w:val="TableGrid"/>
        <w:tblW w:type="dxa" w:w="8503"/>
        <w:tblLayout w:type="fixed"/>
        <w:tblLook w:firstColumn="1" w:firstRow="1" w:lastColumn="0" w:lastRow="0" w:noHBand="0" w:noVBand="1" w:val="04A0"/>
      </w:tblPr>
      <w:tblGrid>
        <w:gridCol w:w="1984"/>
        <w:gridCol w:w="1304"/>
        <w:gridCol w:w="1701"/>
        <w:gridCol w:w="1417"/>
        <w:gridCol w:w="2097"/>
      </w:tblGrid>
      <w:tr>
        <w:tc>
          <w:tcPr>
            <w:tcW w:type="dxa" w:w="1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下月动作</w:t>
            </w:r>
          </w:p>
        </w:tc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负责人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目标指标</w:t>
            </w:r>
          </w:p>
        </w:tc>
        <w:tc>
          <w:tcPr>
            <w:tcW w:type="dxa" w:w="14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完成时间</w:t>
            </w:r>
          </w:p>
        </w:tc>
        <w:tc>
          <w:tcPr>
            <w:tcW w:type="dxa" w:w="20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复盘方式</w:t>
            </w:r>
          </w:p>
        </w:tc>
      </w:tr>
      <w:tr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1304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141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209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1304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141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209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Microsoft YaHei" w:hAnsi="Microsoft YaHei" w:eastAsia="Microsoft YaHei"/>
          <w:b/>
          <w:color w:val="1F4D78"/>
          <w:sz w:val="26"/>
        </w:rPr>
        <w:t>七、仅在触发时补充</w:t>
      </w:r>
    </w:p>
    <w:tbl>
      <w:tblPr>
        <w:tblW w:type="dxa" w:w="9355"/>
        <w:tblLayout w:type="fixed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1）多个核心金额差异会影响目标完成或经营结论时，补一段口径说明；一句备注无法解释时才使用条件口径说明表。</w:t>
              <w:br/>
              <w:t>2）月报已经出现费用率、ROI、预算费用或明确费用结论，且分母冲突影响判断时，才补费用复核。</w:t>
              <w:br/>
              <w:t>3）退款、净成交额、毛利、库存、复购、品相分类均不是常规必填项；原报告有数据或本月问题直接相关时再分析。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964" w:right="964" w:bottom="964" w:left="9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B7280"/>
        <w:sz w:val="16"/>
      </w:rPr>
      <w:t>销售月报填写模板 1.4 | 条件化补充，不新增业务负担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