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48" w:rsidRDefault="00875948" w:rsidP="00875948">
      <w:pPr>
        <w:jc w:val="center"/>
        <w:rPr>
          <w:b/>
          <w:sz w:val="36"/>
          <w:szCs w:val="36"/>
        </w:rPr>
      </w:pPr>
      <w:r w:rsidRPr="007E0D23">
        <w:rPr>
          <w:rFonts w:hint="eastAsia"/>
          <w:b/>
          <w:sz w:val="36"/>
          <w:szCs w:val="36"/>
        </w:rPr>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90387E">
            <w:pPr>
              <w:widowControl/>
              <w:spacing w:line="480" w:lineRule="exact"/>
              <w:jc w:val="center"/>
              <w:rPr>
                <w:rFonts w:ascii="宋体" w:hAnsi="宋体" w:cs="宋体"/>
                <w:b/>
                <w:bCs/>
                <w:kern w:val="0"/>
                <w:sz w:val="24"/>
              </w:rPr>
            </w:pPr>
            <w:r>
              <w:t>1</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875948">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1分11秒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16:15:00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2.50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bookmarkStart w:id="0" w:name="SalesByGene"/>
      <w:r>
        <w:rPr>
          <w:rFonts w:ascii="宋体" w:hAnsi="宋体" w:cs="宋体" w:hint="eastAsia"/>
          <w:b/>
          <w:bCs/>
          <w:noProof/>
          <w:kern w:val="0"/>
          <w:sz w:val="24"/>
        </w:rPr>
        <w:lastRenderedPageBreak/>
        <w:drawing>
          <wp:inline distT="0" distB="0" distL="0" distR="0" wp14:anchorId="0315257D" wp14:editId="5D4BCF2D">
            <wp:extent cx="619506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bookmarkEnd w:id="0"/>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7612EC">
            <w:pPr>
              <w:spacing w:line="480" w:lineRule="exact"/>
              <w:jc w:val="center"/>
              <w:rPr>
                <w:rFonts w:ascii="宋体" w:hAnsi="宋体" w:cs="宋体"/>
                <w:b/>
                <w:bCs/>
                <w:kern w:val="0"/>
                <w:sz w:val="24"/>
              </w:rPr>
            </w:pPr>
            <w:r>
              <w:t>1</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7分52秒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16:16:00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55.30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9.92±3.90</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25.80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12.02±4.56</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38.40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5.85±3.32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46.50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12.39±3.93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4057D5FB" wp14:editId="04B8C67E">
            <wp:extent cx="6195060"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通过测试得知：您属于中间型。既具有内向性格特点又具有外向性格特点。内向的人一般缺乏活力</w:t>
            </w:r>
            <w:r w:rsidRPr="00387578">
              <w:rPr>
                <w:noProof/>
                <w:sz w:val="24"/>
              </w:rPr>
              <w:t>,</w:t>
            </w:r>
            <w:r w:rsidRPr="00387578">
              <w:rPr>
                <w:noProof/>
                <w:sz w:val="24"/>
              </w:rPr>
              <w:t>易昏睡</w:t>
            </w:r>
            <w:r w:rsidRPr="00387578">
              <w:rPr>
                <w:noProof/>
                <w:sz w:val="24"/>
              </w:rPr>
              <w:t>,</w:t>
            </w:r>
            <w:r w:rsidRPr="00387578">
              <w:rPr>
                <w:noProof/>
                <w:sz w:val="24"/>
              </w:rPr>
              <w:t>疲乏。活动时从容不忙</w:t>
            </w:r>
            <w:r w:rsidRPr="00387578">
              <w:rPr>
                <w:noProof/>
                <w:sz w:val="24"/>
              </w:rPr>
              <w:t>,</w:t>
            </w:r>
            <w:r w:rsidRPr="00387578">
              <w:rPr>
                <w:noProof/>
                <w:sz w:val="24"/>
              </w:rPr>
              <w:t>喜欢宁静、闲适的假日。宁愿只有几个特殊朋友</w:t>
            </w:r>
            <w:r w:rsidRPr="00387578">
              <w:rPr>
                <w:noProof/>
                <w:sz w:val="24"/>
              </w:rPr>
              <w:t>,</w:t>
            </w:r>
            <w:r w:rsidRPr="00387578">
              <w:rPr>
                <w:noProof/>
                <w:sz w:val="24"/>
              </w:rPr>
              <w:t>喜欢从事如阅读一类的单独活动</w:t>
            </w:r>
            <w:r w:rsidRPr="00387578">
              <w:rPr>
                <w:noProof/>
                <w:sz w:val="24"/>
              </w:rPr>
              <w:t>,</w:t>
            </w:r>
            <w:r w:rsidRPr="00387578">
              <w:rPr>
                <w:noProof/>
                <w:sz w:val="24"/>
              </w:rPr>
              <w:t>难得谈论他人</w:t>
            </w:r>
            <w:r w:rsidRPr="00387578">
              <w:rPr>
                <w:noProof/>
                <w:sz w:val="24"/>
              </w:rPr>
              <w:t>,</w:t>
            </w:r>
            <w:r w:rsidRPr="00387578">
              <w:rPr>
                <w:noProof/>
                <w:sz w:val="24"/>
              </w:rPr>
              <w:t>有从令他烦恼的社交关系中退出的倾向。喜欢选择熟悉、安全和保障的生活。一般作决定前考虑问题很周详</w:t>
            </w:r>
            <w:r w:rsidRPr="00387578">
              <w:rPr>
                <w:noProof/>
                <w:sz w:val="24"/>
              </w:rPr>
              <w:t>,</w:t>
            </w:r>
            <w:r w:rsidRPr="00387578">
              <w:rPr>
                <w:noProof/>
                <w:sz w:val="24"/>
              </w:rPr>
              <w:t>讲究系统性、规则性、审慎小心</w:t>
            </w:r>
            <w:r w:rsidRPr="00387578">
              <w:rPr>
                <w:noProof/>
                <w:sz w:val="24"/>
              </w:rPr>
              <w:t>,</w:t>
            </w:r>
            <w:r w:rsidRPr="00387578">
              <w:rPr>
                <w:noProof/>
                <w:sz w:val="24"/>
              </w:rPr>
              <w:t>总是预先安排好自己的生活</w:t>
            </w:r>
            <w:r w:rsidRPr="00387578">
              <w:rPr>
                <w:noProof/>
                <w:sz w:val="24"/>
              </w:rPr>
              <w:t>,</w:t>
            </w:r>
            <w:r w:rsidRPr="00387578">
              <w:rPr>
                <w:noProof/>
                <w:sz w:val="24"/>
              </w:rPr>
              <w:t>说话先要考虑</w:t>
            </w:r>
            <w:r w:rsidRPr="00387578">
              <w:rPr>
                <w:noProof/>
                <w:sz w:val="24"/>
              </w:rPr>
              <w:t>,</w:t>
            </w:r>
            <w:r w:rsidRPr="00387578">
              <w:rPr>
                <w:noProof/>
                <w:sz w:val="24"/>
              </w:rPr>
              <w:t>总是</w:t>
            </w:r>
            <w:r w:rsidRPr="00387578">
              <w:rPr>
                <w:noProof/>
                <w:sz w:val="24"/>
              </w:rPr>
              <w:t>"</w:t>
            </w:r>
            <w:r w:rsidRPr="00387578">
              <w:rPr>
                <w:noProof/>
                <w:sz w:val="24"/>
              </w:rPr>
              <w:t>三思而后行</w:t>
            </w:r>
            <w:r w:rsidRPr="00387578">
              <w:rPr>
                <w:noProof/>
                <w:sz w:val="24"/>
              </w:rPr>
              <w:t>"</w:t>
            </w:r>
            <w:r w:rsidRPr="00387578">
              <w:rPr>
                <w:noProof/>
                <w:sz w:val="24"/>
              </w:rPr>
              <w:t>。表露思想感情一般较克制</w:t>
            </w:r>
            <w:r w:rsidRPr="00387578">
              <w:rPr>
                <w:noProof/>
                <w:sz w:val="24"/>
              </w:rPr>
              <w:t>,</w:t>
            </w:r>
            <w:r w:rsidRPr="00387578">
              <w:rPr>
                <w:noProof/>
                <w:sz w:val="24"/>
              </w:rPr>
              <w:t>含蓄、脾气平和、冷漠</w:t>
            </w:r>
            <w:r w:rsidRPr="00387578">
              <w:rPr>
                <w:noProof/>
                <w:sz w:val="24"/>
              </w:rPr>
              <w:t>,</w:t>
            </w:r>
            <w:r w:rsidRPr="00387578">
              <w:rPr>
                <w:noProof/>
                <w:sz w:val="24"/>
              </w:rPr>
              <w:t>中庸适度。富有良知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w:t>
            </w:r>
            <w:r w:rsidRPr="00387578">
              <w:rPr>
                <w:noProof/>
                <w:sz w:val="24"/>
              </w:rPr>
              <w:t>,</w:t>
            </w:r>
            <w:r w:rsidRPr="00387578">
              <w:rPr>
                <w:noProof/>
                <w:sz w:val="24"/>
              </w:rPr>
              <w:t>甚至会有点强迫性。外向的人活跃、精力充沛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w:t>
            </w:r>
            <w:r w:rsidRPr="00387578">
              <w:rPr>
                <w:noProof/>
                <w:sz w:val="24"/>
              </w:rPr>
              <w:lastRenderedPageBreak/>
              <w:t>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w:t>
            </w:r>
            <w:r w:rsidRPr="00387578">
              <w:rPr>
                <w:noProof/>
                <w:sz w:val="24"/>
              </w:rPr>
              <w:lastRenderedPageBreak/>
              <w:t>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lastRenderedPageBreak/>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1</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4分33秒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16:28:00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3FA38E1D" wp14:editId="008FCD2C">
            <wp:extent cx="619506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2</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4分57秒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18:09:00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14.00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61.90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8.65±4.49</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13.06±4.42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36.70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4.92±2.95</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13.35±3.63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ED446" wp14:editId="5EE23940">
            <wp:extent cx="619506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通过测试得知：您属于典型外向。外向的人性格特点是：活跃、精力充沛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w:t>
            </w:r>
            <w:r w:rsidRPr="00387578">
              <w:rPr>
                <w:noProof/>
                <w:sz w:val="24"/>
              </w:rPr>
              <w:lastRenderedPageBreak/>
              <w:t>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w:t>
            </w:r>
            <w:r w:rsidRPr="00387578">
              <w:rPr>
                <w:noProof/>
                <w:sz w:val="24"/>
              </w:rPr>
              <w:lastRenderedPageBreak/>
              <w:t>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2</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3分16秒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18:14:00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B3DF5" wp14:editId="554498CC">
            <wp:extent cx="619506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2</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0分36秒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43A6BE2C" wp14:editId="6EDA85AF">
            <wp:extent cx="619506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2</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9921" w:type="dxa"/>
            <w:gridSpan w:val="8"/>
            <w:vMerge w:val="restart"/>
            <w:tcBorders>
              <w:top w:val="single" w:sz="4" w:space="0" w:color="auto"/>
              <w:left w:val="single" w:sz="4" w:space="0" w:color="auto"/>
              <w:bottom w:val="single" w:sz="4" w:space="0" w:color="auto"/>
              <w:right w:val="single" w:sz="4" w:space="0" w:color="auto"/>
            </w:tcBorders>
            <w:vAlign w:val="center"/>
          </w:tcPr>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D12214" w:rsidRDefault="00875948" w:rsidP="0090387E">
            <w:pPr>
              <w:widowControl/>
              <w:spacing w:line="480" w:lineRule="exact"/>
              <w:rPr>
                <w:rFonts w:ascii="宋体" w:hAnsi="宋体" w:cs="宋体"/>
                <w:kern w:val="0"/>
                <w:sz w:val="24"/>
              </w:rPr>
            </w:pPr>
          </w:p>
          <w:p w:rsidR="00875948" w:rsidRPr="00D12214" w:rsidRDefault="00DD1F4F" w:rsidP="0090387E">
            <w:pPr>
              <w:widowControl/>
              <w:spacing w:line="480" w:lineRule="exact"/>
              <w:rPr>
                <w:rFonts w:ascii="宋体" w:hAnsi="宋体" w:cs="宋体"/>
                <w:kern w:val="0"/>
                <w:sz w:val="24"/>
              </w:rPr>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p w:rsidR="00875948" w:rsidRPr="00AA77D2" w:rsidRDefault="00875948" w:rsidP="0090387E">
            <w:pPr>
              <w:spacing w:line="480" w:lineRule="exact"/>
            </w:pPr>
          </w:p>
          <w:p w:rsidR="00875948" w:rsidRPr="00AA77D2" w:rsidRDefault="00DD1F4F" w:rsidP="0090387E">
            <w:pPr>
              <w:spacing w:line="480" w:lineRule="exact"/>
            </w:p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D12214"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r w:rsidR="00875948" w:rsidRPr="00AA77D2" w:rsidTr="0090387E">
        <w:trPr>
          <w:trHeight w:val="301"/>
          <w:jc w:val="center"/>
        </w:trPr>
        <w:tc>
          <w:tcPr>
            <w:tcW w:w="9921" w:type="dxa"/>
            <w:gridSpan w:val="8"/>
            <w:vMerge/>
            <w:tcBorders>
              <w:top w:val="single" w:sz="4" w:space="0" w:color="auto"/>
              <w:left w:val="single" w:sz="4" w:space="0" w:color="auto"/>
              <w:bottom w:val="single" w:sz="4" w:space="0" w:color="auto"/>
              <w:right w:val="single" w:sz="4" w:space="0" w:color="auto"/>
            </w:tcBorders>
            <w:vAlign w:val="center"/>
          </w:tcP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0分25秒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2</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50477366" wp14:editId="6022EE63">
            <wp:extent cx="619506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395399" w:rsidRDefault="00395399"/>
    <w:sectPr w:rsidR="00395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05"/>
    <w:rsid w:val="00395399"/>
    <w:rsid w:val="003E69AF"/>
    <w:rsid w:val="00494F51"/>
    <w:rsid w:val="007612EC"/>
    <w:rsid w:val="00875948"/>
    <w:rsid w:val="00C656C3"/>
    <w:rsid w:val="00CA6CCD"/>
    <w:rsid w:val="00DD1F4F"/>
    <w:rsid w:val="00E8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61831</dc:creator>
  <cp:keywords/>
  <dc:description/>
  <cp:lastModifiedBy>61831</cp:lastModifiedBy>
  <cp:revision>30</cp:revision>
  <dcterms:created xsi:type="dcterms:W3CDTF">2019-03-25T06:52:00Z</dcterms:created>
  <dcterms:modified xsi:type="dcterms:W3CDTF">2019-03-25T07:03:00Z</dcterms:modified>
</cp:coreProperties>
</file>