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智能纪要：月度经营分析会01 2026年1月12日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会议主题：月度经营分析会01</w:t>
            </w:r>
          </w:p>
          <w:p>
            <w:pPr>
              <w:spacing w:before="120" w:after="120" w:line="288" w:lineRule="auto"/>
              <w:ind w:left="0"/>
              <w:jc w:val="left"/>
            </w:pPr>
            <w:r>
              <w:rPr>
                <w:rFonts w:eastAsia="等线" w:ascii="Arial" w:cs="Arial" w:hAnsi="Arial"/>
                <w:color w:val="646a73"/>
                <w:sz w:val="22"/>
              </w:rPr>
              <w:t>上传时间：1月12号（周一） 10:00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2670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267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经营分析会展开深入探讨，涵盖其在企业中的作用、组织方式、财务模块分析方法以及通过实际案例进行解读，旨在帮助企业提升经营分析会质量，以经营者视角审视企业经营，实现高价值增长，内容如下：</w:t>
      </w:r>
    </w:p>
    <w:p>
      <w:pPr>
        <w:numPr>
          <w:numId w:val="1"/>
        </w:numPr>
        <w:spacing w:before="120" w:after="120" w:line="288" w:lineRule="auto"/>
        <w:ind w:left="0"/>
        <w:jc w:val="left"/>
      </w:pPr>
      <w:r>
        <w:rPr>
          <w:rFonts w:eastAsia="等线" w:ascii="Arial" w:cs="Arial" w:hAnsi="Arial"/>
          <w:b w:val="true"/>
          <w:sz w:val="22"/>
        </w:rPr>
        <w:t>经营分析会的重要性与目标</w:t>
      </w:r>
    </w:p>
    <w:p>
      <w:pPr>
        <w:numPr>
          <w:numId w:val="2"/>
        </w:numPr>
        <w:spacing w:before="120" w:after="120" w:line="288" w:lineRule="auto"/>
        <w:ind w:left="453"/>
        <w:jc w:val="left"/>
      </w:pPr>
      <w:r>
        <w:rPr>
          <w:rFonts w:eastAsia="等线" w:ascii="Arial" w:cs="Arial" w:hAnsi="Arial"/>
          <w:b w:val="true"/>
          <w:sz w:val="22"/>
        </w:rPr>
        <w:t>经营分析会的成本与问题</w:t>
      </w:r>
    </w:p>
    <w:p>
      <w:pPr>
        <w:numPr>
          <w:numId w:val="3"/>
        </w:numPr>
        <w:spacing w:before="120" w:after="120" w:line="288" w:lineRule="auto"/>
        <w:ind w:left="907"/>
        <w:jc w:val="left"/>
      </w:pPr>
      <w:r>
        <w:rPr>
          <w:rFonts w:eastAsia="等线" w:ascii="Arial" w:cs="Arial" w:hAnsi="Arial"/>
          <w:sz w:val="22"/>
        </w:rPr>
        <w:t>会议成本高：说话人 1 指出企业开经营分析会通常需一天，准备材料至少一天，两天时间占一个月 22 个有效工作日的比例较高，会议成本不容小觑。</w:t>
      </w:r>
    </w:p>
    <w:p>
      <w:pPr>
        <w:numPr>
          <w:numId w:val="4"/>
        </w:numPr>
        <w:spacing w:before="120" w:after="120" w:line="288" w:lineRule="auto"/>
        <w:ind w:left="907"/>
        <w:jc w:val="left"/>
      </w:pPr>
      <w:r>
        <w:rPr>
          <w:rFonts w:eastAsia="等线" w:ascii="Arial" w:cs="Arial" w:hAnsi="Arial"/>
          <w:sz w:val="22"/>
        </w:rPr>
        <w:t>会议形式问题多：常见的经营分析会形态如开诚汇报会、座谈会、随机会、吐槽会等存在诸多弊端。开诚座谈会无议程和时间管理，沟通与决策效率低；吐槽会易受外部经济环境、供应链等因素影响，不仅难以解决问题，还会打击团队士气，加剧部门墙。</w:t>
      </w:r>
    </w:p>
    <w:p>
      <w:pPr>
        <w:numPr>
          <w:numId w:val="5"/>
        </w:numPr>
        <w:spacing w:before="120" w:after="120" w:line="288" w:lineRule="auto"/>
        <w:ind w:left="453"/>
        <w:jc w:val="left"/>
      </w:pPr>
      <w:r>
        <w:rPr>
          <w:rFonts w:eastAsia="等线" w:ascii="Arial" w:cs="Arial" w:hAnsi="Arial"/>
          <w:b w:val="true"/>
          <w:sz w:val="22"/>
        </w:rPr>
        <w:t>经营分析会的目标与价值</w:t>
      </w:r>
    </w:p>
    <w:p>
      <w:pPr>
        <w:numPr>
          <w:numId w:val="6"/>
        </w:numPr>
        <w:spacing w:before="120" w:after="120" w:line="288" w:lineRule="auto"/>
        <w:ind w:left="907"/>
        <w:jc w:val="left"/>
      </w:pPr>
      <w:r>
        <w:rPr>
          <w:rFonts w:eastAsia="等线" w:ascii="Arial" w:cs="Arial" w:hAnsi="Arial"/>
          <w:sz w:val="22"/>
        </w:rPr>
        <w:t>提升经营质量：说话人 1 强调经营分析会的主要目的是通过学习有效方法，在短时间内高效率开好会议，更重要的是通过会议有效提升经营质量，实现高价值增长，而非仅仅追求会议的顺利进行。</w:t>
      </w:r>
    </w:p>
    <w:p>
      <w:pPr>
        <w:numPr>
          <w:numId w:val="7"/>
        </w:numPr>
        <w:spacing w:before="120" w:after="120" w:line="288" w:lineRule="auto"/>
        <w:ind w:left="907"/>
        <w:jc w:val="left"/>
      </w:pPr>
      <w:r>
        <w:rPr>
          <w:rFonts w:eastAsia="等线" w:ascii="Arial" w:cs="Arial" w:hAnsi="Arial"/>
          <w:sz w:val="22"/>
        </w:rPr>
        <w:t>培养经营班子：公司级经营分析会应让经营班子成员以经营者视角参会，思考会议内容和关键决策。经营良好的企业通过半年左右的经营分析会，可形成思想认知一致、有战斗力的经营班子。</w:t>
      </w:r>
    </w:p>
    <w:p>
      <w:pPr>
        <w:numPr>
          <w:numId w:val="8"/>
        </w:numPr>
        <w:spacing w:before="120" w:after="120" w:line="288" w:lineRule="auto"/>
        <w:ind w:left="0"/>
        <w:jc w:val="left"/>
      </w:pPr>
      <w:r>
        <w:rPr>
          <w:rFonts w:eastAsia="等线" w:ascii="Arial" w:cs="Arial" w:hAnsi="Arial"/>
          <w:b w:val="true"/>
          <w:sz w:val="22"/>
        </w:rPr>
        <w:t>经营分析会的组织与安排</w:t>
      </w:r>
    </w:p>
    <w:p>
      <w:pPr>
        <w:numPr>
          <w:numId w:val="9"/>
        </w:numPr>
        <w:spacing w:before="120" w:after="120" w:line="288" w:lineRule="auto"/>
        <w:ind w:left="453"/>
        <w:jc w:val="left"/>
      </w:pPr>
      <w:r>
        <w:rPr>
          <w:rFonts w:eastAsia="等线" w:ascii="Arial" w:cs="Arial" w:hAnsi="Arial"/>
          <w:b w:val="true"/>
          <w:sz w:val="22"/>
        </w:rPr>
        <w:t>会议时间</w:t>
      </w:r>
      <w:r>
        <w:rPr>
          <w:rFonts w:eastAsia="等线" w:ascii="Arial" w:cs="Arial" w:hAnsi="Arial"/>
          <w:sz w:val="22"/>
        </w:rPr>
        <w:t>：说话人 1 建议财务在月度关账后的第一时间召开经营分析会，除跨境电商企业外，多数企业最好在 10 号前召开，避免当月过半才开会影响决策及时性。</w:t>
      </w:r>
    </w:p>
    <w:p>
      <w:pPr>
        <w:numPr>
          <w:numId w:val="10"/>
        </w:numPr>
        <w:spacing w:before="120" w:after="120" w:line="288" w:lineRule="auto"/>
        <w:ind w:left="453"/>
        <w:jc w:val="left"/>
      </w:pPr>
      <w:r>
        <w:rPr>
          <w:rFonts w:eastAsia="等线" w:ascii="Arial" w:cs="Arial" w:hAnsi="Arial"/>
          <w:b w:val="true"/>
          <w:sz w:val="22"/>
        </w:rPr>
        <w:t>参会人员</w:t>
      </w:r>
      <w:r>
        <w:rPr>
          <w:rFonts w:eastAsia="等线" w:ascii="Arial" w:cs="Arial" w:hAnsi="Arial"/>
          <w:sz w:val="22"/>
        </w:rPr>
        <w:t>：强调参会人员应为公司经营班子成员，包括 CEO、财务负责人、人事负责人、主要业务负责人等，人数一般控制在 10 人以内。这些成员应具备经营者思维，站在公司视角思考会议内容。</w:t>
      </w:r>
    </w:p>
    <w:p>
      <w:pPr>
        <w:numPr>
          <w:numId w:val="11"/>
        </w:numPr>
        <w:spacing w:before="120" w:after="120" w:line="288" w:lineRule="auto"/>
        <w:ind w:left="453"/>
        <w:jc w:val="left"/>
      </w:pPr>
      <w:r>
        <w:rPr>
          <w:rFonts w:eastAsia="等线" w:ascii="Arial" w:cs="Arial" w:hAnsi="Arial"/>
          <w:b w:val="true"/>
          <w:sz w:val="22"/>
        </w:rPr>
        <w:t>会议时长</w:t>
      </w:r>
      <w:r>
        <w:rPr>
          <w:rFonts w:eastAsia="等线" w:ascii="Arial" w:cs="Arial" w:hAnsi="Arial"/>
          <w:sz w:val="22"/>
        </w:rPr>
        <w:t>：会议时长一般不超过半天（4 小时），理想状态为 2 小时。不同规模企业可根据实际情况调整，如 1 - 5 亿企业约 2 小时，5 - 15 亿企业约半天，大型企业可能需 6 小时，但关键是开好会议而非追求时长。部分经营良好、调优策略少的企业可改为双月度会议。</w:t>
      </w:r>
    </w:p>
    <w:p>
      <w:pPr>
        <w:numPr>
          <w:numId w:val="12"/>
        </w:numPr>
        <w:spacing w:before="120" w:after="120" w:line="288" w:lineRule="auto"/>
        <w:ind w:left="453"/>
        <w:jc w:val="left"/>
      </w:pPr>
      <w:r>
        <w:rPr>
          <w:rFonts w:eastAsia="等线" w:ascii="Arial" w:cs="Arial" w:hAnsi="Arial"/>
          <w:b w:val="true"/>
          <w:sz w:val="22"/>
        </w:rPr>
        <w:t>关键角色</w:t>
      </w:r>
      <w:r>
        <w:rPr>
          <w:rFonts w:eastAsia="等线" w:ascii="Arial" w:cs="Arial" w:hAnsi="Arial"/>
          <w:sz w:val="22"/>
        </w:rPr>
        <w:t>：说话人 1 指出会议主持人角色重要，企业有主持人和无主持人的会议时间相差约 30%，主持人能有效把控会议节奏和时间。</w:t>
      </w:r>
    </w:p>
    <w:p>
      <w:pPr>
        <w:spacing w:before="120" w:after="120" w:line="288" w:lineRule="auto"/>
        <w:ind w:left="453"/>
        <w:jc w:val="center"/>
      </w:pPr>
      <w:r>
        <w:drawing>
          <wp:inline distT="0" distR="0" distB="0" distL="0">
            <wp:extent cx="5257800" cy="13239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32397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经营分析会组织安排对比</w:t>
        <w:br/>
      </w:r>
    </w:p>
    <w:p>
      <w:pPr>
        <w:numPr>
          <w:numId w:val="13"/>
        </w:numPr>
        <w:spacing w:before="120" w:after="120" w:line="288" w:lineRule="auto"/>
        <w:ind w:left="0"/>
        <w:jc w:val="left"/>
      </w:pPr>
      <w:r>
        <w:rPr>
          <w:rFonts w:eastAsia="等线" w:ascii="Arial" w:cs="Arial" w:hAnsi="Arial"/>
          <w:b w:val="true"/>
          <w:sz w:val="22"/>
        </w:rPr>
        <w:t>围绕经营成果的经营分析会召开方法</w:t>
      </w:r>
    </w:p>
    <w:p>
      <w:pPr>
        <w:numPr>
          <w:numId w:val="14"/>
        </w:numPr>
        <w:spacing w:before="120" w:after="120" w:line="288" w:lineRule="auto"/>
        <w:ind w:left="453"/>
        <w:jc w:val="left"/>
      </w:pPr>
      <w:r>
        <w:rPr>
          <w:rFonts w:eastAsia="等线" w:ascii="Arial" w:cs="Arial" w:hAnsi="Arial"/>
          <w:b w:val="true"/>
          <w:sz w:val="22"/>
        </w:rPr>
        <w:t>课程难点与学员差异</w:t>
      </w:r>
      <w:r>
        <w:rPr>
          <w:rFonts w:eastAsia="等线" w:ascii="Arial" w:cs="Arial" w:hAnsi="Arial"/>
          <w:sz w:val="22"/>
        </w:rPr>
        <w:t>：说话人 1 提到本次课程学员水平差异大，约 30% 是一年级和二年级学友，还有三位学生会主席，课程设计需兼顾不同水平学员，提取最大公约数。</w:t>
      </w:r>
    </w:p>
    <w:p>
      <w:pPr>
        <w:numPr>
          <w:numId w:val="15"/>
        </w:numPr>
        <w:spacing w:before="120" w:after="120" w:line="288" w:lineRule="auto"/>
        <w:ind w:left="453"/>
        <w:jc w:val="left"/>
      </w:pPr>
      <w:r>
        <w:rPr>
          <w:rFonts w:eastAsia="等线" w:ascii="Arial" w:cs="Arial" w:hAnsi="Arial"/>
          <w:b w:val="true"/>
          <w:sz w:val="22"/>
        </w:rPr>
        <w:t>基础篇经营分析会的三个基本步骤</w:t>
      </w:r>
    </w:p>
    <w:p>
      <w:pPr>
        <w:numPr>
          <w:numId w:val="16"/>
        </w:numPr>
        <w:spacing w:before="120" w:after="120" w:line="288" w:lineRule="auto"/>
        <w:ind w:left="907"/>
        <w:jc w:val="left"/>
      </w:pPr>
      <w:r>
        <w:rPr>
          <w:rFonts w:eastAsia="等线" w:ascii="Arial" w:cs="Arial" w:hAnsi="Arial"/>
          <w:b w:val="true"/>
          <w:sz w:val="22"/>
        </w:rPr>
        <w:t>财务模块</w:t>
      </w:r>
    </w:p>
    <w:p>
      <w:pPr>
        <w:numPr>
          <w:numId w:val="17"/>
        </w:numPr>
        <w:spacing w:before="120" w:after="120" w:line="288" w:lineRule="auto"/>
        <w:ind w:left="1360"/>
        <w:jc w:val="left"/>
      </w:pPr>
      <w:r>
        <w:rPr>
          <w:rFonts w:eastAsia="等线" w:ascii="Arial" w:cs="Arial" w:hAnsi="Arial"/>
          <w:sz w:val="22"/>
        </w:rPr>
        <w:t>以损益管理为导向：财务模块存在非财务部同事不重视、企业对应收账款和库存减值制度建设不足等误区。所有同事在财务模块应聚焦趋势、效率和完成率三个关键词。</w:t>
      </w:r>
    </w:p>
    <w:p>
      <w:pPr>
        <w:numPr>
          <w:numId w:val="18"/>
        </w:numPr>
        <w:spacing w:before="120" w:after="120" w:line="288" w:lineRule="auto"/>
        <w:ind w:left="1360"/>
        <w:jc w:val="left"/>
      </w:pPr>
      <w:r>
        <w:rPr>
          <w:rFonts w:eastAsia="等线" w:ascii="Arial" w:cs="Arial" w:hAnsi="Arial"/>
          <w:sz w:val="22"/>
        </w:rPr>
        <w:t>趋势判断未来：经营者应从财务数据趋势中判断未来，而非仅关注过去成绩。</w:t>
      </w:r>
    </w:p>
    <w:p>
      <w:pPr>
        <w:numPr>
          <w:numId w:val="19"/>
        </w:numPr>
        <w:spacing w:before="120" w:after="120" w:line="288" w:lineRule="auto"/>
        <w:ind w:left="1360"/>
        <w:jc w:val="left"/>
      </w:pPr>
      <w:r>
        <w:rPr>
          <w:rFonts w:eastAsia="等线" w:ascii="Arial" w:cs="Arial" w:hAnsi="Arial"/>
          <w:sz w:val="22"/>
        </w:rPr>
        <w:t>效率挖掘利润：从各种效率指标中挖掘利润增长机会点。</w:t>
      </w:r>
    </w:p>
    <w:p>
      <w:pPr>
        <w:numPr>
          <w:numId w:val="20"/>
        </w:numPr>
        <w:spacing w:before="120" w:after="120" w:line="288" w:lineRule="auto"/>
        <w:ind w:left="1360"/>
        <w:jc w:val="left"/>
      </w:pPr>
      <w:r>
        <w:rPr>
          <w:rFonts w:eastAsia="等线" w:ascii="Arial" w:cs="Arial" w:hAnsi="Arial"/>
          <w:sz w:val="22"/>
        </w:rPr>
        <w:t>完成率审视自身：预算完成率可能出现年初预算目标定错或部门完成率差异大的情况，需审视自身情况。建议财务同事对趋势、效率和完成率进行定性总结，财务模块负责人可以是财务负责人或 CEO。</w:t>
      </w:r>
    </w:p>
    <w:p>
      <w:pPr>
        <w:numPr>
          <w:numId w:val="21"/>
        </w:numPr>
        <w:spacing w:before="120" w:after="120" w:line="288" w:lineRule="auto"/>
        <w:ind w:left="907"/>
        <w:jc w:val="left"/>
      </w:pPr>
      <w:r>
        <w:rPr>
          <w:rFonts w:eastAsia="等线" w:ascii="Arial" w:cs="Arial" w:hAnsi="Arial"/>
          <w:sz w:val="22"/>
        </w:rPr>
        <w:t>业务模块：业务模块围绕年初设定的业绩目标，解决每周、每月出现的偏差。</w:t>
      </w:r>
    </w:p>
    <w:p>
      <w:pPr>
        <w:numPr>
          <w:numId w:val="22"/>
        </w:numPr>
        <w:spacing w:before="120" w:after="120" w:line="288" w:lineRule="auto"/>
        <w:ind w:left="907"/>
        <w:jc w:val="left"/>
      </w:pPr>
      <w:r>
        <w:rPr>
          <w:rFonts w:eastAsia="等线" w:ascii="Arial" w:cs="Arial" w:hAnsi="Arial"/>
          <w:sz w:val="22"/>
        </w:rPr>
        <w:t>组织模块：构建以支撑业务为导向的组织模块，是经营分析会基础版的重要组成部分。</w:t>
      </w:r>
    </w:p>
    <w:p>
      <w:pPr>
        <w:numPr>
          <w:numId w:val="23"/>
        </w:numPr>
        <w:spacing w:before="120" w:after="120" w:line="288" w:lineRule="auto"/>
        <w:ind w:left="0"/>
        <w:jc w:val="left"/>
      </w:pPr>
      <w:r>
        <w:rPr>
          <w:rFonts w:eastAsia="等线" w:ascii="Arial" w:cs="Arial" w:hAnsi="Arial"/>
          <w:b w:val="true"/>
          <w:sz w:val="22"/>
        </w:rPr>
        <w:t>损益管理与财务报表分析</w:t>
      </w:r>
    </w:p>
    <w:p>
      <w:pPr>
        <w:numPr>
          <w:numId w:val="24"/>
        </w:numPr>
        <w:spacing w:before="120" w:after="120" w:line="288" w:lineRule="auto"/>
        <w:ind w:left="453"/>
        <w:jc w:val="left"/>
      </w:pPr>
      <w:r>
        <w:rPr>
          <w:rFonts w:eastAsia="等线" w:ascii="Arial" w:cs="Arial" w:hAnsi="Arial"/>
          <w:b w:val="true"/>
          <w:sz w:val="22"/>
        </w:rPr>
        <w:t>损益表的重要性与观察方法</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5299"/>
        <w:gridCol w:w="2980"/>
      </w:tblGrid>
      <w:tr>
        <w:tc>
          <w:tcPr>
            <w:tcW w:w="5299" w:type="dxa"/>
            <w:tcMar>
              <w:top w:type="dxa" w:w="60"/>
              <w:left w:type="dxa" w:w="120"/>
              <w:bottom w:type="dxa" w:w="30"/>
              <w:right w:type="dxa" w:w="120"/>
            </w:tcMar>
          </w:tcPr>
          <w:p>
            <w:pPr>
              <w:numPr>
                <w:numId w:val="25"/>
              </w:numPr>
              <w:spacing w:before="120" w:after="120" w:line="288" w:lineRule="auto"/>
              <w:ind w:left="0"/>
              <w:jc w:val="left"/>
            </w:pPr>
            <w:r>
              <w:rPr>
                <w:rFonts w:eastAsia="等线" w:ascii="Arial" w:cs="Arial" w:hAnsi="Arial"/>
                <w:sz w:val="22"/>
              </w:rPr>
              <w:t>经营者的核心能力：说话人 1 强调损益管理能力是经营者最底层、最核心的能力，通过展示巴菲特在大学演讲中对会计知识重要性的观点，说明理解财务报表对经营者的重要性。</w:t>
            </w:r>
          </w:p>
          <w:p>
            <w:pPr>
              <w:numPr>
                <w:numId w:val="26"/>
              </w:numPr>
              <w:spacing w:before="120" w:after="120" w:line="288" w:lineRule="auto"/>
              <w:ind w:left="0"/>
              <w:jc w:val="left"/>
            </w:pPr>
            <w:r>
              <w:rPr>
                <w:rFonts w:eastAsia="等线" w:ascii="Arial" w:cs="Arial" w:hAnsi="Arial"/>
                <w:sz w:val="22"/>
              </w:rPr>
              <w:t>七弦琴损益表结构：以七弦琴损益表为例，详细解释企业净利润的构成，包括营业收入、生产成本、毛利额、毛利率、销售费用、仓储物流费用、贡献毛利额等指标。强调贡献毛利额对企业的重要性，若为负数，企业每多做一笔生意可能多亏损一笔。</w:t>
            </w:r>
          </w:p>
          <w:p>
            <w:pPr>
              <w:numPr>
                <w:numId w:val="27"/>
              </w:numPr>
              <w:spacing w:before="120" w:after="120" w:line="288" w:lineRule="auto"/>
              <w:ind w:left="0"/>
              <w:jc w:val="left"/>
            </w:pPr>
            <w:r>
              <w:rPr>
                <w:rFonts w:eastAsia="等线" w:ascii="Arial" w:cs="Arial" w:hAnsi="Arial"/>
                <w:sz w:val="22"/>
              </w:rPr>
              <w:t>关键指标分析：建议在经营分析会报表中重点关注预算达成率、年度/季度增长率、毛利率、贡献毛利率、费用率和净利润率等指标。其中，毛利率和销售费用率可体现企业护城河，无护城河企业毛利率会随竞争加剧下降，销售费用率会逐年攀升。</w:t>
            </w:r>
          </w:p>
        </w:tc>
        <w:tc>
          <w:tcPr>
            <w:tcW w:w="2980" w:type="dxa"/>
            <w:tcMar>
              <w:top w:type="dxa" w:w="60"/>
              <w:left w:type="dxa" w:w="120"/>
              <w:bottom w:type="dxa" w:w="30"/>
              <w:right w:type="dxa" w:w="120"/>
            </w:tcMar>
          </w:tcPr>
          <w:p>
            <w:pPr>
              <w:spacing w:before="120" w:after="120" w:line="288" w:lineRule="auto"/>
              <w:ind w:left="0"/>
              <w:jc w:val="center"/>
            </w:pPr>
            <w:r>
              <w:drawing>
                <wp:inline distT="0" distR="0" distB="0" distL="0">
                  <wp:extent cx="1733550" cy="1647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733550" cy="16478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七弦琴损益表结构</w:t>
              <w:br/>
            </w:r>
          </w:p>
        </w:tc>
      </w:tr>
    </w:tbl>
    <w:p>
      <w:pPr>
        <w:numPr>
          <w:numId w:val="28"/>
        </w:numPr>
        <w:spacing w:before="120" w:after="120" w:line="288" w:lineRule="auto"/>
        <w:ind w:left="907"/>
        <w:jc w:val="left"/>
      </w:pPr>
      <w:r>
        <w:rPr>
          <w:rFonts w:eastAsia="等线" w:ascii="Arial" w:cs="Arial" w:hAnsi="Arial"/>
          <w:sz w:val="22"/>
        </w:rPr>
        <w:t>报表呈现版式：提供基础版、进阶版和高阶版三种报表呈现版式。基础版展示过去五个季度数据，呈现各项费用率和净利润率；进阶版增加红黄绿灯标注营收、毛利率和净利润率的完成率；高阶版具备判断未来同比和完成比的预判能力。</w:t>
      </w:r>
    </w:p>
    <w:p>
      <w:pPr>
        <w:numPr>
          <w:numId w:val="29"/>
        </w:numPr>
        <w:spacing w:before="120" w:after="120" w:line="288" w:lineRule="auto"/>
        <w:ind w:left="907"/>
        <w:jc w:val="left"/>
      </w:pPr>
      <w:r>
        <w:rPr>
          <w:rFonts w:eastAsia="等线" w:ascii="Arial" w:cs="Arial" w:hAnsi="Arial"/>
          <w:sz w:val="22"/>
        </w:rPr>
        <w:t>趋势参考值选择：判断趋势的参考值有年同比、季度环比、月度环比和预算完成率。成熟业务重预算，发展业务重趋势，创新级业务月环比很重要。</w:t>
      </w:r>
    </w:p>
    <w:p>
      <w:pPr>
        <w:numPr>
          <w:numId w:val="30"/>
        </w:numPr>
        <w:spacing w:before="120" w:after="120" w:line="288" w:lineRule="auto"/>
        <w:ind w:left="907"/>
        <w:jc w:val="left"/>
      </w:pPr>
      <w:r>
        <w:rPr>
          <w:rFonts w:eastAsia="等线" w:ascii="Arial" w:cs="Arial" w:hAnsi="Arial"/>
          <w:sz w:val="22"/>
        </w:rPr>
        <w:t>报表解读方法：提出横向看趋势、纵向看效率、趋势看季度、效率分业务的报表解读方法。优质损益报表应具备成长性、连续性、规模性和逻辑性四大特征，从损益表中更容易找到盈利的机会，因为企业普遍存在效率优化空间，降费用比做增长容易，且业务单元会自发降低费用。</w:t>
      </w:r>
    </w:p>
    <w:p>
      <w:pPr>
        <w:numPr>
          <w:numId w:val="31"/>
        </w:numPr>
        <w:spacing w:before="120" w:after="120" w:line="288" w:lineRule="auto"/>
        <w:ind w:left="453"/>
        <w:jc w:val="left"/>
      </w:pPr>
      <w:r>
        <w:rPr>
          <w:rFonts w:eastAsia="等线" w:ascii="Arial" w:cs="Arial" w:hAnsi="Arial"/>
          <w:b w:val="true"/>
          <w:sz w:val="22"/>
        </w:rPr>
        <w:t>不同行业七弦琴报表差异</w:t>
      </w:r>
    </w:p>
    <w:p>
      <w:pPr>
        <w:numPr>
          <w:numId w:val="32"/>
        </w:numPr>
        <w:spacing w:before="120" w:after="120" w:line="288" w:lineRule="auto"/>
        <w:ind w:left="907"/>
        <w:jc w:val="left"/>
      </w:pPr>
      <w:r>
        <w:rPr>
          <w:rFonts w:eastAsia="等线" w:ascii="Arial" w:cs="Arial" w:hAnsi="Arial"/>
          <w:sz w:val="22"/>
        </w:rPr>
        <w:t>跨境电商：跨境电商较大的费用主要在销售费用（包括平台佣金、广告投流、销售团队奖金工资等）和仓储物流费用（包括尾程配送、仓储租金、超期付处理费、移仓费等），头程费用有的企业计入生产成本。</w:t>
      </w:r>
    </w:p>
    <w:p>
      <w:pPr>
        <w:numPr>
          <w:numId w:val="33"/>
        </w:numPr>
        <w:spacing w:before="120" w:after="120" w:line="288" w:lineRule="auto"/>
        <w:ind w:left="907"/>
        <w:jc w:val="left"/>
      </w:pPr>
      <w:r>
        <w:rPr>
          <w:rFonts w:eastAsia="等线" w:ascii="Arial" w:cs="Arial" w:hAnsi="Arial"/>
          <w:sz w:val="22"/>
        </w:rPr>
        <w:t>餐饮类企业：说话人 1 指出餐饮类企业七弦琴报表需对一些口径进行具体描述，入企辅导时会带财务同事梳理企业七弦琴报表。</w:t>
      </w:r>
    </w:p>
    <w:p>
      <w:pPr>
        <w:numPr>
          <w:numId w:val="34"/>
        </w:numPr>
        <w:spacing w:before="120" w:after="120" w:line="288" w:lineRule="auto"/>
        <w:ind w:left="0"/>
        <w:jc w:val="left"/>
      </w:pPr>
      <w:r>
        <w:rPr>
          <w:rFonts w:eastAsia="等线" w:ascii="Arial" w:cs="Arial" w:hAnsi="Arial"/>
          <w:b w:val="true"/>
          <w:sz w:val="22"/>
        </w:rPr>
        <w:t>企业案例分析</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630"/>
        <w:gridCol w:w="2649"/>
      </w:tblGrid>
      <w:tr>
        <w:tc>
          <w:tcPr>
            <w:tcW w:w="5630" w:type="dxa"/>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b w:val="true"/>
                <w:sz w:val="22"/>
              </w:rPr>
              <w:t>阿里巴巴财报分析</w:t>
            </w:r>
          </w:p>
          <w:p>
            <w:pPr>
              <w:numPr>
                <w:numId w:val="36"/>
              </w:numPr>
              <w:spacing w:before="120" w:after="120" w:line="288" w:lineRule="auto"/>
              <w:ind w:left="453"/>
              <w:jc w:val="left"/>
            </w:pPr>
            <w:r>
              <w:rPr>
                <w:rFonts w:eastAsia="等线" w:ascii="Arial" w:cs="Arial" w:hAnsi="Arial"/>
                <w:sz w:val="22"/>
              </w:rPr>
              <w:t>增长趋势放缓：说话人 4 分析阿里巴巴过去几年营收虽保持增长，但 2021 年后增速放缓，利润率在 2021 年出现结构性变化。说话人 1 进一步指出其营收在 2020 - 2021 年有明显分水岭，前三年近乎指数级增长，后三年为个位数线性增长，净利润在 2021 年狂降 1000 亿。</w:t>
            </w:r>
          </w:p>
          <w:p>
            <w:pPr>
              <w:numPr>
                <w:numId w:val="37"/>
              </w:numPr>
              <w:spacing w:before="120" w:after="120" w:line="288" w:lineRule="auto"/>
              <w:ind w:left="453"/>
              <w:jc w:val="left"/>
            </w:pPr>
            <w:r>
              <w:rPr>
                <w:rFonts w:eastAsia="等线" w:ascii="Arial" w:cs="Arial" w:hAnsi="Arial"/>
                <w:sz w:val="22"/>
              </w:rPr>
              <w:t>财务报表问题多：通过横向看趋势和纵向看效率发现，阿里巴巴财务报表存在大量人为调整动作，如营业外收支对利润影响大，资产质量差，资产负债表中商誉高达 2555 亿。商誉是企业扩张并购时产生的溢价，存在巨大不确定性，可能影响企业未来利润。</w:t>
            </w:r>
          </w:p>
          <w:p>
            <w:pPr>
              <w:numPr>
                <w:numId w:val="38"/>
              </w:numPr>
              <w:spacing w:before="120" w:after="120" w:line="288" w:lineRule="auto"/>
              <w:ind w:left="453"/>
              <w:jc w:val="left"/>
            </w:pPr>
            <w:r>
              <w:rPr>
                <w:rFonts w:eastAsia="等线" w:ascii="Arial" w:cs="Arial" w:hAnsi="Arial"/>
                <w:sz w:val="22"/>
              </w:rPr>
              <w:t>经营状况不佳：阿里巴巴毛利率下降，销售费用率无规模效应，管理费用率未体现摊薄效应，反映出企业护城河被侵蚀，组织效能出现问题，可能存在部门臃肿、内部沟通效率低、部门墙高等问题。</w:t>
            </w:r>
          </w:p>
        </w:tc>
        <w:tc>
          <w:tcPr>
            <w:tcW w:w="2649" w:type="dxa"/>
            <w:tcMar>
              <w:top w:type="dxa" w:w="60"/>
              <w:left w:type="dxa" w:w="120"/>
              <w:bottom w:type="dxa" w:w="30"/>
              <w:right w:type="dxa" w:w="120"/>
            </w:tcMar>
          </w:tcPr>
          <w:p>
            <w:pPr>
              <w:spacing w:before="120" w:after="120" w:line="288" w:lineRule="auto"/>
              <w:ind w:left="0"/>
              <w:jc w:val="center"/>
            </w:pPr>
            <w:r>
              <w:drawing>
                <wp:inline distT="0" distR="0" distB="0" distL="0">
                  <wp:extent cx="1524000" cy="6000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1524000" cy="6000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阿里巴巴与拼多多财务表现对比（2018-2023）</w:t>
              <w:br/>
            </w:r>
          </w:p>
        </w:tc>
      </w:tr>
    </w:tbl>
    <w:p>
      <w:pPr>
        <w:numPr>
          <w:numId w:val="39"/>
        </w:numPr>
        <w:spacing w:before="120" w:after="120" w:line="288" w:lineRule="auto"/>
        <w:ind w:left="453"/>
        <w:jc w:val="left"/>
      </w:pPr>
      <w:r>
        <w:rPr>
          <w:rFonts w:eastAsia="等线" w:ascii="Arial" w:cs="Arial" w:hAnsi="Arial"/>
          <w:b w:val="true"/>
          <w:sz w:val="22"/>
        </w:rPr>
        <w:t>拼多多财报分析</w:t>
      </w:r>
    </w:p>
    <w:p>
      <w:pPr>
        <w:numPr>
          <w:numId w:val="40"/>
        </w:numPr>
        <w:spacing w:before="120" w:after="120" w:line="288" w:lineRule="auto"/>
        <w:ind w:left="907"/>
        <w:jc w:val="left"/>
      </w:pPr>
      <w:r>
        <w:rPr>
          <w:rFonts w:eastAsia="等线" w:ascii="Arial" w:cs="Arial" w:hAnsi="Arial"/>
          <w:sz w:val="22"/>
        </w:rPr>
        <w:t>经营表现优异：说话人 5 和说话人 6 分析拼多多营收逐年上升，贡献毛利率上升，业务效率提高，但成本不稳定，2023 年毛利率下降 14 个点。说话人 1 指出拼多多 6 年营收增长 20 倍，净利润率连续 6 年增长，销售费用率逐年下降，管理费用率极低，人均利润贡献在 2023 年第三季度超越苹果，体现出高顾客忠诚度和强组织能力。</w:t>
      </w:r>
    </w:p>
    <w:p>
      <w:pPr>
        <w:numPr>
          <w:numId w:val="41"/>
        </w:numPr>
        <w:spacing w:before="120" w:after="120" w:line="288" w:lineRule="auto"/>
        <w:ind w:left="907"/>
        <w:jc w:val="left"/>
      </w:pPr>
      <w:r>
        <w:rPr>
          <w:rFonts w:eastAsia="等线" w:ascii="Arial" w:cs="Arial" w:hAnsi="Arial"/>
          <w:sz w:val="22"/>
        </w:rPr>
        <w:t>战略决策明智：拼多多毛利率下降 13 个点但净利润未下降，体现其对净利润的强控制能力和战略控制力。面对国补和外卖竞争，拼多多选择硬扛国补，不参与外卖竞争，将资金投入海外供应链建设，展现出战略定力和聚焦能力。</w:t>
      </w:r>
    </w:p>
    <w:p>
      <w:pPr>
        <w:numPr>
          <w:numId w:val="42"/>
        </w:numPr>
        <w:spacing w:before="120" w:after="120" w:line="288" w:lineRule="auto"/>
        <w:ind w:left="453"/>
        <w:jc w:val="left"/>
      </w:pPr>
      <w:r>
        <w:rPr>
          <w:rFonts w:eastAsia="等线" w:ascii="Arial" w:cs="Arial" w:hAnsi="Arial"/>
          <w:b w:val="true"/>
          <w:sz w:val="22"/>
        </w:rPr>
        <w:t>案例对比启示</w:t>
      </w:r>
    </w:p>
    <w:p>
      <w:pPr>
        <w:numPr>
          <w:numId w:val="43"/>
        </w:numPr>
        <w:spacing w:before="120" w:after="120" w:line="288" w:lineRule="auto"/>
        <w:ind w:left="907"/>
        <w:jc w:val="left"/>
      </w:pPr>
      <w:r>
        <w:rPr>
          <w:rFonts w:eastAsia="等线" w:ascii="Arial" w:cs="Arial" w:hAnsi="Arial"/>
          <w:sz w:val="22"/>
        </w:rPr>
        <w:t>财务知识的重要性：通过对比阿里巴巴和拼多多财报，说话人 1 强调经营者具备财务知识的重要性，不仅有助于经营企业，还能在投资和资产配置时做出正确决策，避免像投资乐视那样血本无归。</w:t>
      </w:r>
    </w:p>
    <w:p>
      <w:pPr>
        <w:numPr>
          <w:numId w:val="44"/>
        </w:numPr>
        <w:spacing w:before="120" w:after="120" w:line="288" w:lineRule="auto"/>
        <w:ind w:left="907"/>
        <w:jc w:val="left"/>
      </w:pPr>
      <w:r>
        <w:rPr>
          <w:rFonts w:eastAsia="等线" w:ascii="Arial" w:cs="Arial" w:hAnsi="Arial"/>
          <w:sz w:val="22"/>
        </w:rPr>
        <w:t>企业增长驱动力差异：引用罗伯特·索洛的索洛模型，说明国家或企业的增长受全要素生产率、资本存量和劳动力总量三个要素驱动，且会面临资本边际效应递减规律。阿里巴巴增长主要依赖资本存量（并购），导致毛利率下降；拼多多增长主要源于全要素生产率，未来增长潜力更大。</w:t>
      </w:r>
    </w:p>
    <w:p>
      <w:pPr>
        <w:numPr>
          <w:numId w:val="45"/>
        </w:numPr>
        <w:spacing w:before="120" w:after="120" w:line="288" w:lineRule="auto"/>
        <w:ind w:left="0"/>
        <w:jc w:val="left"/>
      </w:pPr>
      <w:r>
        <w:rPr>
          <w:rFonts w:eastAsia="等线" w:ascii="Arial" w:cs="Arial" w:hAnsi="Arial"/>
          <w:b w:val="true"/>
          <w:sz w:val="22"/>
        </w:rPr>
        <w:t>财务分析方法总结</w:t>
      </w:r>
    </w:p>
    <w:p>
      <w:pPr>
        <w:numPr>
          <w:numId w:val="46"/>
        </w:numPr>
        <w:spacing w:before="120" w:after="120" w:line="288" w:lineRule="auto"/>
        <w:ind w:left="453"/>
        <w:jc w:val="left"/>
      </w:pPr>
      <w:r>
        <w:rPr>
          <w:rFonts w:eastAsia="等线" w:ascii="Arial" w:cs="Arial" w:hAnsi="Arial"/>
          <w:b w:val="true"/>
          <w:sz w:val="22"/>
        </w:rPr>
        <w:t>业务侧分析方法</w:t>
      </w:r>
    </w:p>
    <w:p>
      <w:pPr>
        <w:numPr>
          <w:numId w:val="47"/>
        </w:numPr>
        <w:spacing w:before="120" w:after="120" w:line="288" w:lineRule="auto"/>
        <w:ind w:left="907"/>
        <w:jc w:val="left"/>
      </w:pPr>
      <w:r>
        <w:rPr>
          <w:rFonts w:eastAsia="等线" w:ascii="Arial" w:cs="Arial" w:hAnsi="Arial"/>
          <w:sz w:val="22"/>
        </w:rPr>
        <w:t>趋势分析法：看过去五年或 12 个季度的趋势，得出相关结论。</w:t>
      </w:r>
    </w:p>
    <w:p>
      <w:pPr>
        <w:numPr>
          <w:numId w:val="48"/>
        </w:numPr>
        <w:spacing w:before="120" w:after="120" w:line="288" w:lineRule="auto"/>
        <w:ind w:left="907"/>
        <w:jc w:val="left"/>
      </w:pPr>
      <w:r>
        <w:rPr>
          <w:rFonts w:eastAsia="等线" w:ascii="Arial" w:cs="Arial" w:hAnsi="Arial"/>
          <w:sz w:val="22"/>
        </w:rPr>
        <w:t>盈利分析法：看重毛利率和各项费用率，因为毛利率减去各项费用率等于净利润率。</w:t>
      </w:r>
    </w:p>
    <w:p>
      <w:pPr>
        <w:numPr>
          <w:numId w:val="49"/>
        </w:numPr>
        <w:spacing w:before="120" w:after="120" w:line="288" w:lineRule="auto"/>
        <w:ind w:left="907"/>
        <w:jc w:val="left"/>
      </w:pPr>
      <w:r>
        <w:rPr>
          <w:rFonts w:eastAsia="等线" w:ascii="Arial" w:cs="Arial" w:hAnsi="Arial"/>
          <w:sz w:val="22"/>
        </w:rPr>
        <w:t>要素分析法：进一步拆解毛利率和各项费用率的构成，寻找子项目变化。</w:t>
      </w:r>
    </w:p>
    <w:p>
      <w:pPr>
        <w:numPr>
          <w:numId w:val="50"/>
        </w:numPr>
        <w:spacing w:before="120" w:after="120" w:line="288" w:lineRule="auto"/>
        <w:ind w:left="907"/>
        <w:jc w:val="left"/>
      </w:pPr>
      <w:r>
        <w:rPr>
          <w:rFonts w:eastAsia="等线" w:ascii="Arial" w:cs="Arial" w:hAnsi="Arial"/>
          <w:sz w:val="22"/>
        </w:rPr>
        <w:t>根因分析法：找出数据层之下的深层次原因，强调数据结构化的重要性，好的数据结构能呈现多数机会点和原因。</w:t>
      </w:r>
    </w:p>
    <w:p>
      <w:pPr>
        <w:numPr>
          <w:numId w:val="51"/>
        </w:numPr>
        <w:spacing w:before="120" w:after="120" w:line="288" w:lineRule="auto"/>
        <w:ind w:left="453"/>
        <w:jc w:val="left"/>
      </w:pPr>
      <w:r>
        <w:rPr>
          <w:rFonts w:eastAsia="等线" w:ascii="Arial" w:cs="Arial" w:hAnsi="Arial"/>
          <w:b w:val="true"/>
          <w:sz w:val="22"/>
        </w:rPr>
        <w:t>财务侧分析方法</w:t>
      </w:r>
    </w:p>
    <w:p>
      <w:pPr>
        <w:numPr>
          <w:numId w:val="52"/>
        </w:numPr>
        <w:spacing w:before="120" w:after="120" w:line="288" w:lineRule="auto"/>
        <w:ind w:left="907"/>
        <w:jc w:val="left"/>
      </w:pPr>
      <w:r>
        <w:rPr>
          <w:rFonts w:eastAsia="等线" w:ascii="Arial" w:cs="Arial" w:hAnsi="Arial"/>
          <w:sz w:val="22"/>
        </w:rPr>
        <w:t>资产回报分析：包括净资产回报率、总资产回报率、投资回报率等，CEO 和财务一号位需关注。</w:t>
      </w:r>
    </w:p>
    <w:p>
      <w:pPr>
        <w:numPr>
          <w:numId w:val="53"/>
        </w:numPr>
        <w:spacing w:before="120" w:after="120" w:line="288" w:lineRule="auto"/>
        <w:ind w:left="907"/>
        <w:jc w:val="left"/>
      </w:pPr>
      <w:r>
        <w:rPr>
          <w:rFonts w:eastAsia="等线" w:ascii="Arial" w:cs="Arial" w:hAnsi="Arial"/>
          <w:sz w:val="22"/>
        </w:rPr>
        <w:t>财务稳健分析：涉及流动比率、速动比率、资产负债率、利息保障倍数、经营现金流、自由现金流等指标，跨境电商企业尤其要关注库存周转对经营现金流的影响。</w:t>
      </w:r>
    </w:p>
    <w:p>
      <w:pPr>
        <w:numPr>
          <w:numId w:val="54"/>
        </w:numPr>
        <w:spacing w:before="120" w:after="120" w:line="288" w:lineRule="auto"/>
        <w:ind w:left="907"/>
        <w:jc w:val="left"/>
      </w:pPr>
      <w:r>
        <w:rPr>
          <w:rFonts w:eastAsia="等线" w:ascii="Arial" w:cs="Arial" w:hAnsi="Arial"/>
          <w:sz w:val="22"/>
        </w:rPr>
        <w:t>行业比对分析：找出行业数据进行横向比较，帮助企业决策，由财务同学牵头进行。</w:t>
      </w:r>
    </w:p>
    <w:p>
      <w:pPr>
        <w:numPr>
          <w:numId w:val="55"/>
        </w:numPr>
        <w:spacing w:before="120" w:after="120" w:line="288" w:lineRule="auto"/>
        <w:ind w:left="0"/>
        <w:jc w:val="left"/>
      </w:pPr>
      <w:r>
        <w:rPr>
          <w:rFonts w:eastAsia="等线" w:ascii="Arial" w:cs="Arial" w:hAnsi="Arial"/>
          <w:b w:val="true"/>
          <w:sz w:val="22"/>
        </w:rPr>
        <w:t>财务报表的解读要点</w:t>
      </w:r>
    </w:p>
    <w:p>
      <w:pPr>
        <w:numPr>
          <w:numId w:val="56"/>
        </w:numPr>
        <w:spacing w:before="120" w:after="120" w:line="288" w:lineRule="auto"/>
        <w:ind w:left="453"/>
        <w:jc w:val="left"/>
      </w:pPr>
      <w:r>
        <w:rPr>
          <w:rFonts w:eastAsia="等线" w:ascii="Arial" w:cs="Arial" w:hAnsi="Arial"/>
          <w:b w:val="true"/>
          <w:sz w:val="22"/>
        </w:rPr>
        <w:t>利润表</w:t>
      </w:r>
      <w:r>
        <w:rPr>
          <w:rFonts w:eastAsia="等线" w:ascii="Arial" w:cs="Arial" w:hAnsi="Arial"/>
          <w:sz w:val="22"/>
        </w:rPr>
        <w:t>：利润损益表是成绩单，除看净利润外，还需看资产回报率，即考虑用多少净资产带来回报。</w:t>
      </w:r>
    </w:p>
    <w:p>
      <w:pPr>
        <w:numPr>
          <w:numId w:val="57"/>
        </w:numPr>
        <w:spacing w:before="120" w:after="120" w:line="288" w:lineRule="auto"/>
        <w:ind w:left="453"/>
        <w:jc w:val="left"/>
      </w:pPr>
      <w:r>
        <w:rPr>
          <w:rFonts w:eastAsia="等线" w:ascii="Arial" w:cs="Arial" w:hAnsi="Arial"/>
          <w:b w:val="true"/>
          <w:sz w:val="22"/>
        </w:rPr>
        <w:t>资产负债表</w:t>
      </w:r>
      <w:r>
        <w:rPr>
          <w:rFonts w:eastAsia="等线" w:ascii="Arial" w:cs="Arial" w:hAnsi="Arial"/>
          <w:sz w:val="22"/>
        </w:rPr>
        <w:t>：资产负债表是记账本，看资产负债率，一般净资产回报率超过 15% 为好企业，资产负债率控制在 30% 上下比较安全。</w:t>
      </w:r>
    </w:p>
    <w:p>
      <w:pPr>
        <w:numPr>
          <w:numId w:val="58"/>
        </w:numPr>
        <w:spacing w:before="120" w:after="120" w:line="288" w:lineRule="auto"/>
        <w:ind w:left="453"/>
        <w:jc w:val="left"/>
      </w:pPr>
      <w:r>
        <w:rPr>
          <w:rFonts w:eastAsia="等线" w:ascii="Arial" w:cs="Arial" w:hAnsi="Arial"/>
          <w:b w:val="true"/>
          <w:sz w:val="22"/>
        </w:rPr>
        <w:t>现金流量表</w:t>
      </w:r>
      <w:r>
        <w:rPr>
          <w:rFonts w:eastAsia="等线" w:ascii="Arial" w:cs="Arial" w:hAnsi="Arial"/>
          <w:sz w:val="22"/>
        </w:rPr>
        <w:t>：现金流量表是照妖镜，看经营现金流，通过净现比（经营现金流除以净利润额）判断企业经营状况，大于 1 较好，小于 0.6 说明企业存在大问题，跨境电商企业需特别关注。</w:t>
      </w:r>
    </w:p>
    <w:p>
      <w:pPr>
        <w:numPr>
          <w:numId w:val="59"/>
        </w:numPr>
        <w:spacing w:before="120" w:after="120" w:line="288" w:lineRule="auto"/>
        <w:ind w:left="0"/>
        <w:jc w:val="left"/>
      </w:pPr>
      <w:r>
        <w:rPr>
          <w:rFonts w:eastAsia="等线" w:ascii="Arial" w:cs="Arial" w:hAnsi="Arial"/>
          <w:b w:val="true"/>
          <w:sz w:val="22"/>
        </w:rPr>
        <w:t>后续工作计划</w:t>
      </w:r>
    </w:p>
    <w:p>
      <w:pPr>
        <w:numPr>
          <w:numId w:val="60"/>
        </w:numPr>
        <w:spacing w:before="120" w:after="120" w:line="288" w:lineRule="auto"/>
        <w:ind w:left="453"/>
        <w:jc w:val="left"/>
      </w:pPr>
      <w:r>
        <w:rPr>
          <w:rFonts w:eastAsia="等线" w:ascii="Arial" w:cs="Arial" w:hAnsi="Arial"/>
          <w:b w:val="true"/>
          <w:sz w:val="22"/>
        </w:rPr>
        <w:t>制作七弦琴报表</w:t>
      </w:r>
      <w:r>
        <w:rPr>
          <w:rFonts w:eastAsia="等线" w:ascii="Arial" w:cs="Arial" w:hAnsi="Arial"/>
          <w:sz w:val="22"/>
        </w:rPr>
        <w:t>：企业应回去制作自己的七弦琴报表，合理合适的报表有助于企业经营向专业选手迈进一大步。</w:t>
      </w:r>
    </w:p>
    <w:p>
      <w:pPr>
        <w:numPr>
          <w:numId w:val="61"/>
        </w:numPr>
        <w:spacing w:before="120" w:after="120" w:line="288" w:lineRule="auto"/>
        <w:ind w:left="453"/>
        <w:jc w:val="left"/>
      </w:pPr>
      <w:r>
        <w:rPr>
          <w:rFonts w:eastAsia="等线" w:ascii="Arial" w:cs="Arial" w:hAnsi="Arial"/>
          <w:b w:val="true"/>
          <w:sz w:val="22"/>
        </w:rPr>
        <w:t>标注重要异常数字</w:t>
      </w:r>
      <w:r>
        <w:rPr>
          <w:rFonts w:eastAsia="等线" w:ascii="Arial" w:cs="Arial" w:hAnsi="Arial"/>
          <w:sz w:val="22"/>
        </w:rPr>
        <w:t>：在报表中把重要和异常的数字标注出来，围绕成长性、规模性、连续性和逻辑性解读损益表。</w:t>
      </w:r>
    </w:p>
    <w:p>
      <w:pPr>
        <w:numPr>
          <w:numId w:val="62"/>
        </w:numPr>
        <w:spacing w:before="120" w:after="120" w:line="288" w:lineRule="auto"/>
        <w:ind w:left="453"/>
        <w:jc w:val="left"/>
      </w:pPr>
      <w:r>
        <w:rPr>
          <w:rFonts w:eastAsia="等线" w:ascii="Arial" w:cs="Arial" w:hAnsi="Arial"/>
          <w:b w:val="true"/>
          <w:sz w:val="22"/>
        </w:rPr>
        <w:t>下午课程学习</w:t>
      </w:r>
      <w:r>
        <w:rPr>
          <w:rFonts w:eastAsia="等线" w:ascii="Arial" w:cs="Arial" w:hAnsi="Arial"/>
          <w:sz w:val="22"/>
        </w:rPr>
        <w:t>：下午 1 点半继续上课，学习组织模块相关内容，并了解年度战略复盘会议的召开方法，课程预计 6 点左右结束。</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待办</w:t>
      </w:r>
      <w:bookmarkEnd w:id="1"/>
    </w:p>
    <w:p>
      <w:pPr>
        <w:numPr>
          <w:numId w:val="63"/>
        </w:numPr>
        <w:spacing w:before="120" w:after="120" w:line="288" w:lineRule="auto"/>
        <w:ind w:left="0"/>
        <w:jc w:val="left"/>
      </w:pPr>
      <w:r>
        <w:rPr>
          <w:rFonts w:eastAsia="等线" w:ascii="Arial" w:cs="Arial" w:hAnsi="Arial"/>
          <w:sz w:val="22"/>
        </w:rPr>
        <w:t>所有参会人员除了做出公司级的期先勤之外，再把各个经营单元的齐贤琴也列出来，通过齐贤琴分析各个经营单元的盈利情况，找出不赚钱的经营单元和品类单元</w:t>
      </w:r>
    </w:p>
    <w:p>
      <w:pPr>
        <w:numPr>
          <w:numId w:val="64"/>
        </w:numPr>
        <w:spacing w:before="120" w:after="120" w:line="288" w:lineRule="auto"/>
        <w:ind w:left="0"/>
        <w:jc w:val="left"/>
      </w:pPr>
      <w:r>
        <w:rPr>
          <w:rFonts w:eastAsia="等线" w:ascii="Arial" w:cs="Arial" w:hAnsi="Arial"/>
          <w:sz w:val="22"/>
        </w:rPr>
        <w:t>所有参会人员按照齐贤琴的格式调整损益表，与财务同事结合今天所学内容，梳理企业的基线情</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智能章节</w:t>
      </w:r>
      <w:bookmarkEnd w:id="2"/>
    </w:p>
    <w:p>
      <w:pPr>
        <w:spacing w:before="120" w:after="120" w:line="288" w:lineRule="auto"/>
        <w:ind w:left="0"/>
        <w:jc w:val="left"/>
      </w:pPr>
      <w:hyperlink r:id="rId9">
        <w:r>
          <w:rPr>
            <w:rFonts w:eastAsia="等线" w:ascii="Arial" w:cs="Arial" w:hAnsi="Arial"/>
            <w:color w:val="3370ff"/>
            <w:sz w:val="22"/>
          </w:rPr>
          <w:t>00:03</w:t>
        </w:r>
      </w:hyperlink>
      <w:r>
        <w:rPr>
          <w:rFonts w:eastAsia="等线" w:ascii="Arial" w:cs="Arial" w:hAnsi="Arial"/>
          <w:b w:val="true"/>
          <w:sz w:val="22"/>
        </w:rPr>
        <w:t xml:space="preserve">  经营分析会常见问题、内容及参会人员探讨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指出企业经营分析会存在成本高、效率低、易开成吐槽会等问题，强调学习有效开会方法的重要性。课程将分三部分讲解，包括经营分析会的作用、召开围绕经营成果的会议方法及执行跟进与问题应对，还会介绍年度复盘会知识，目的是学方法、提质量、培养有战斗力的经营班子。</w:t>
            </w:r>
          </w:p>
        </w:tc>
      </w:tr>
    </w:tbl>
    <w:p>
      <w:pPr>
        <w:spacing w:before="120" w:after="120" w:line="288" w:lineRule="auto"/>
        <w:ind w:left="0"/>
        <w:jc w:val="left"/>
      </w:pPr>
      <w:hyperlink r:id="rId10">
        <w:r>
          <w:rPr>
            <w:rFonts w:eastAsia="等线" w:ascii="Arial" w:cs="Arial" w:hAnsi="Arial"/>
            <w:color w:val="3370ff"/>
            <w:sz w:val="22"/>
          </w:rPr>
          <w:t>06:14</w:t>
        </w:r>
      </w:hyperlink>
      <w:r>
        <w:rPr>
          <w:rFonts w:eastAsia="等线" w:ascii="Arial" w:cs="Arial" w:hAnsi="Arial"/>
          <w:b w:val="true"/>
          <w:sz w:val="22"/>
        </w:rPr>
        <w:t xml:space="preserve">  经营分析会开不好根源在于会不会经营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探讨经营分析会开不好的根源。指出经营分析会三字重点常落在“会议”，但其本质围绕“经营”。强调企业经营分析会开不好，并非会不会开会或分析的问题，根源在于会不会经营，若仅围绕如何开会，无法解决根本问题。</w:t>
            </w:r>
          </w:p>
        </w:tc>
      </w:tr>
    </w:tbl>
    <w:p>
      <w:pPr>
        <w:spacing w:before="120" w:after="120" w:line="288" w:lineRule="auto"/>
        <w:ind w:left="0"/>
        <w:jc w:val="left"/>
      </w:pPr>
      <w:hyperlink r:id="rId11">
        <w:r>
          <w:rPr>
            <w:rFonts w:eastAsia="等线" w:ascii="Arial" w:cs="Arial" w:hAnsi="Arial"/>
            <w:color w:val="3370ff"/>
            <w:sz w:val="22"/>
          </w:rPr>
          <w:t>07:50</w:t>
        </w:r>
      </w:hyperlink>
      <w:r>
        <w:rPr>
          <w:rFonts w:eastAsia="等线" w:ascii="Arial" w:cs="Arial" w:hAnsi="Arial"/>
          <w:b w:val="true"/>
          <w:sz w:val="22"/>
        </w:rPr>
        <w:t xml:space="preserve">  经营分析会的定义、作用及三重驱动力概述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经营分析会展开，说话人指出按现有方式设置会议议程难以解决经营分析会面临的问题，并阐述经营分析会是企业经营者将战略目标变为经营结果的最重要抓手，能助力企业在一年时间里有效拿到经营结果，它通过构建三重经营驱动力保障最终经营结果实现，后续会总结这三重驱动力。</w:t>
            </w:r>
          </w:p>
        </w:tc>
      </w:tr>
    </w:tbl>
    <w:p>
      <w:pPr>
        <w:spacing w:before="120" w:after="120" w:line="288" w:lineRule="auto"/>
        <w:ind w:left="0"/>
        <w:jc w:val="left"/>
      </w:pPr>
      <w:hyperlink r:id="rId12">
        <w:r>
          <w:rPr>
            <w:rFonts w:eastAsia="等线" w:ascii="Arial" w:cs="Arial" w:hAnsi="Arial"/>
            <w:color w:val="3370ff"/>
            <w:sz w:val="22"/>
          </w:rPr>
          <w:t>08:49</w:t>
        </w:r>
      </w:hyperlink>
      <w:r>
        <w:rPr>
          <w:rFonts w:eastAsia="等线" w:ascii="Arial" w:cs="Arial" w:hAnsi="Arial"/>
          <w:b w:val="true"/>
          <w:sz w:val="22"/>
        </w:rPr>
        <w:t xml:space="preserve">  经营分析会核心在业务决策调优及案例分享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经营分析会的核心在于业务决策调优，指出以往经营分析会常呈现数字、汇报工作及指出部门问题，若将重心放在调优上，围绕一条调优策略拿确定性结果，企业将有显著进展。说话人还会围绕高维学友案例，讲述其过去半年左右净利润率实现倍数级增长的情况。</w:t>
            </w:r>
          </w:p>
        </w:tc>
      </w:tr>
    </w:tbl>
    <w:p>
      <w:pPr>
        <w:spacing w:before="120" w:after="120" w:line="288" w:lineRule="auto"/>
        <w:ind w:left="0"/>
        <w:jc w:val="left"/>
      </w:pPr>
      <w:hyperlink r:id="rId13">
        <w:r>
          <w:rPr>
            <w:rFonts w:eastAsia="等线" w:ascii="Arial" w:cs="Arial" w:hAnsi="Arial"/>
            <w:color w:val="3370ff"/>
            <w:sz w:val="22"/>
          </w:rPr>
          <w:t>10:30</w:t>
        </w:r>
      </w:hyperlink>
      <w:r>
        <w:rPr>
          <w:rFonts w:eastAsia="等线" w:ascii="Arial" w:cs="Arial" w:hAnsi="Arial"/>
          <w:b w:val="true"/>
          <w:sz w:val="22"/>
        </w:rPr>
        <w:t xml:space="preserve">  企业三种角色能力要求及经营分析会要点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企业的三种角色：执行者、管理者和经营者，阐述了对不同角色的能力要求。执行者需专业、执行和协作能力；管理者要精进专业，掌握领导力，可通过人才、人心、人效三角模型盘点组织能力；经营者要具备损益管理、战略抉择和资源配置能力，经营分析会期望大家有经营者视角，高维课程围绕这三种角色能力展开。</w:t>
            </w:r>
          </w:p>
        </w:tc>
      </w:tr>
    </w:tbl>
    <w:p>
      <w:pPr>
        <w:spacing w:before="120" w:after="120" w:line="288" w:lineRule="auto"/>
        <w:ind w:left="0"/>
        <w:jc w:val="left"/>
      </w:pPr>
      <w:hyperlink r:id="rId14">
        <w:r>
          <w:rPr>
            <w:rFonts w:eastAsia="等线" w:ascii="Arial" w:cs="Arial" w:hAnsi="Arial"/>
            <w:color w:val="3370ff"/>
            <w:sz w:val="22"/>
          </w:rPr>
          <w:t>18:00</w:t>
        </w:r>
      </w:hyperlink>
      <w:r>
        <w:rPr>
          <w:rFonts w:eastAsia="等线" w:ascii="Arial" w:cs="Arial" w:hAnsi="Arial"/>
          <w:b w:val="true"/>
          <w:sz w:val="22"/>
        </w:rPr>
        <w:t xml:space="preserve">  经营分析会组织要点及业务决策调优强调</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经营分析会的组织要点。时间上，建议财务月度关账后尽早开，多数企业10号前最佳；参会人员为经营班子成员，10人以内；时长依企业规模而定，理想状态2 - 4小时，关键是开好。强调会议主持人很重要，还指出经营分析会重在业务决策调优，参会者要有经营者思维。</w:t>
            </w:r>
          </w:p>
        </w:tc>
      </w:tr>
    </w:tbl>
    <w:p>
      <w:pPr>
        <w:spacing w:before="120" w:after="120" w:line="288" w:lineRule="auto"/>
        <w:ind w:left="0"/>
        <w:jc w:val="left"/>
      </w:pPr>
      <w:hyperlink r:id="rId15">
        <w:r>
          <w:rPr>
            <w:rFonts w:eastAsia="等线" w:ascii="Arial" w:cs="Arial" w:hAnsi="Arial"/>
            <w:color w:val="3370ff"/>
            <w:sz w:val="22"/>
          </w:rPr>
          <w:t>22:56</w:t>
        </w:r>
      </w:hyperlink>
      <w:r>
        <w:rPr>
          <w:rFonts w:eastAsia="等线" w:ascii="Arial" w:cs="Arial" w:hAnsi="Arial"/>
          <w:b w:val="true"/>
          <w:sz w:val="22"/>
        </w:rPr>
        <w:t xml:space="preserve">  经营分析会基础步骤、模块及驱动力介绍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经营成果经营分析会展开。因学员水平方差大，课程需兼顾多数人。介绍企业经营分析会分基础篇和进阶内容，基础篇有三个基本步骤，掌握好对月初经营调优足够。基础篇经营分析会分财务、业务、组织三个模块，有了这三个模块主架构就有了，关键是呈现所需内容并拿到调优策略。</w:t>
            </w:r>
          </w:p>
        </w:tc>
      </w:tr>
    </w:tbl>
    <w:p>
      <w:pPr>
        <w:spacing w:before="120" w:after="120" w:line="288" w:lineRule="auto"/>
        <w:ind w:left="0"/>
        <w:jc w:val="left"/>
      </w:pPr>
      <w:hyperlink r:id="rId16">
        <w:r>
          <w:rPr>
            <w:rFonts w:eastAsia="等线" w:ascii="Arial" w:cs="Arial" w:hAnsi="Arial"/>
            <w:color w:val="3370ff"/>
            <w:sz w:val="22"/>
          </w:rPr>
          <w:t>27:07</w:t>
        </w:r>
      </w:hyperlink>
      <w:r>
        <w:rPr>
          <w:rFonts w:eastAsia="等线" w:ascii="Arial" w:cs="Arial" w:hAnsi="Arial"/>
          <w:b w:val="true"/>
          <w:sz w:val="22"/>
        </w:rPr>
        <w:t xml:space="preserve">  财务模块误区、核心要点及报表分析建议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财务模块展开，指出企业存在非财务人员不重视、制度建设不足等误区。强调财务模块聚焦趋势、效率、完成率三个关键词，建议财务同事对其进行定性总结。还提及财务报表，多数经营者看损益表，建议企业经营分析会看管理报表口径损益表，且看报表时率比额更重要，后续将讲关键财务指标。</w:t>
            </w:r>
          </w:p>
        </w:tc>
      </w:tr>
    </w:tbl>
    <w:p>
      <w:pPr>
        <w:spacing w:before="120" w:after="120" w:line="288" w:lineRule="auto"/>
        <w:ind w:left="0"/>
        <w:jc w:val="left"/>
      </w:pPr>
      <w:hyperlink r:id="rId17">
        <w:r>
          <w:rPr>
            <w:rFonts w:eastAsia="等线" w:ascii="Arial" w:cs="Arial" w:hAnsi="Arial"/>
            <w:color w:val="3370ff"/>
            <w:sz w:val="22"/>
          </w:rPr>
          <w:t>34:38</w:t>
        </w:r>
      </w:hyperlink>
      <w:r>
        <w:rPr>
          <w:rFonts w:eastAsia="等线" w:ascii="Arial" w:cs="Arial" w:hAnsi="Arial"/>
          <w:b w:val="true"/>
          <w:sz w:val="22"/>
        </w:rPr>
        <w:t xml:space="preserve">  巴菲特演讲谈会计知识与财报分析价值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播放巴菲特2003年在内布拉斯加大学70分钟演讲视频，强调损益管理能力是经营者核心能力。巴菲特认为会计知识最重要，像通用语言，助其赚钱。还提到巴菲特2003年未见面就电话批准17亿美金收购交易，通过季报、年报了解公司情况，指出看财务报表能读出很多信息。</w:t>
            </w:r>
          </w:p>
        </w:tc>
      </w:tr>
    </w:tbl>
    <w:p>
      <w:pPr>
        <w:spacing w:before="120" w:after="120" w:line="288" w:lineRule="auto"/>
        <w:ind w:left="0"/>
        <w:jc w:val="left"/>
      </w:pPr>
      <w:hyperlink r:id="rId18">
        <w:r>
          <w:rPr>
            <w:rFonts w:eastAsia="等线" w:ascii="Arial" w:cs="Arial" w:hAnsi="Arial"/>
            <w:color w:val="3370ff"/>
            <w:sz w:val="22"/>
          </w:rPr>
          <w:t>44:03</w:t>
        </w:r>
      </w:hyperlink>
      <w:r>
        <w:rPr>
          <w:rFonts w:eastAsia="等线" w:ascii="Arial" w:cs="Arial" w:hAnsi="Arial"/>
          <w:b w:val="true"/>
          <w:sz w:val="22"/>
        </w:rPr>
        <w:t xml:space="preserve">  从损益表看企业经营，重点关注五项比率</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主要讲解经营者如何看损益表，介绍了管理视角的七贤琴损益表，阐述净利润计算过程及贡献毛利额概念。通过亚马逊、英伟达案例具象化说明七贤琴结构，建议关注预算达成率等5个率，强调其背后体现的企业制度、趋势等，还指出毛利率和销售费用率可判断企业有无护城河。</w:t>
            </w:r>
          </w:p>
        </w:tc>
      </w:tr>
    </w:tbl>
    <w:p>
      <w:pPr>
        <w:spacing w:before="120" w:after="120" w:line="288" w:lineRule="auto"/>
        <w:ind w:left="0"/>
        <w:jc w:val="left"/>
      </w:pPr>
      <w:hyperlink r:id="rId19">
        <w:r>
          <w:rPr>
            <w:rFonts w:eastAsia="等线" w:ascii="Arial" w:cs="Arial" w:hAnsi="Arial"/>
            <w:color w:val="3370ff"/>
            <w:sz w:val="22"/>
          </w:rPr>
          <w:t>01:02:07</w:t>
        </w:r>
      </w:hyperlink>
      <w:r>
        <w:rPr>
          <w:rFonts w:eastAsia="等线" w:ascii="Arial" w:cs="Arial" w:hAnsi="Arial"/>
          <w:b w:val="true"/>
          <w:sz w:val="22"/>
        </w:rPr>
        <w:t xml:space="preserve">  企业数据版式、能力要求及趋势参考指标</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生意数据展示的基础版、进阶版和高阶版。基础版展示连续五季度数据及各项比率；进阶版加营收、毛利率、净利润率完成率；高阶版需有预判能力。还指出不同业务判断趋势的参考物不同，成熟业务重预算，发展业务重年同比、季度或月度环比等趋势指标。</w:t>
            </w:r>
          </w:p>
        </w:tc>
      </w:tr>
    </w:tbl>
    <w:p>
      <w:pPr>
        <w:spacing w:before="120" w:after="120" w:line="288" w:lineRule="auto"/>
        <w:ind w:left="0"/>
        <w:jc w:val="left"/>
      </w:pPr>
      <w:hyperlink r:id="rId20">
        <w:r>
          <w:rPr>
            <w:rFonts w:eastAsia="等线" w:ascii="Arial" w:cs="Arial" w:hAnsi="Arial"/>
            <w:color w:val="3370ff"/>
            <w:sz w:val="22"/>
          </w:rPr>
          <w:t>01:11:12</w:t>
        </w:r>
      </w:hyperlink>
      <w:r>
        <w:rPr>
          <w:rFonts w:eastAsia="等线" w:ascii="Arial" w:cs="Arial" w:hAnsi="Arial"/>
          <w:b w:val="true"/>
          <w:sz w:val="22"/>
        </w:rPr>
        <w:t xml:space="preserve">  齐贤琴报表分析方法及业务效率查看要点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查看报表的方法。一是横向看趋势，拿到报表先横向看营收变动，再看利润及利润率变化；二是纵向看效率，若利润率下降，纵着分析各费用率变化；三是趋势看季度，建议看季度趋势以减少月度波动影响；四是效率分业务，除公司级报表，列出各经营单元和品类单元报表，能发现盈利情况。</w:t>
            </w:r>
          </w:p>
        </w:tc>
      </w:tr>
    </w:tbl>
    <w:p>
      <w:pPr>
        <w:spacing w:before="120" w:after="120" w:line="288" w:lineRule="auto"/>
        <w:ind w:left="0"/>
        <w:jc w:val="left"/>
      </w:pPr>
      <w:hyperlink r:id="rId21">
        <w:r>
          <w:rPr>
            <w:rFonts w:eastAsia="等线" w:ascii="Arial" w:cs="Arial" w:hAnsi="Arial"/>
            <w:color w:val="3370ff"/>
            <w:sz w:val="22"/>
          </w:rPr>
          <w:t>01:16:31</w:t>
        </w:r>
      </w:hyperlink>
      <w:r>
        <w:rPr>
          <w:rFonts w:eastAsia="等线" w:ascii="Arial" w:cs="Arial" w:hAnsi="Arial"/>
          <w:b w:val="true"/>
          <w:sz w:val="22"/>
        </w:rPr>
        <w:t xml:space="preserve">  优质损益报表特征、盈利机会及行业费用分析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判断企业业务好坏及优质损益报表的四大特征，即成长性、连续性、规模性和逻辑性，还提到从损益表中更易找到盈利机会，原因包括企业有利润优化空间、降费用比做增长容易、业务单元会自发降费用。同时以跨境电商为例说明不同行业七先勤报表口径有别，建议结合财务同事调好报表。</w:t>
            </w:r>
          </w:p>
        </w:tc>
      </w:tr>
    </w:tbl>
    <w:p>
      <w:pPr>
        <w:spacing w:before="120" w:after="120" w:line="288" w:lineRule="auto"/>
        <w:ind w:left="0"/>
        <w:jc w:val="left"/>
      </w:pPr>
      <w:hyperlink r:id="rId22">
        <w:r>
          <w:rPr>
            <w:rFonts w:eastAsia="等线" w:ascii="Arial" w:cs="Arial" w:hAnsi="Arial"/>
            <w:color w:val="3370ff"/>
            <w:sz w:val="22"/>
          </w:rPr>
          <w:t>01:27:30</w:t>
        </w:r>
      </w:hyperlink>
      <w:r>
        <w:rPr>
          <w:rFonts w:eastAsia="等线" w:ascii="Arial" w:cs="Arial" w:hAnsi="Arial"/>
          <w:b w:val="true"/>
          <w:sz w:val="22"/>
        </w:rPr>
        <w:t xml:space="preserve">  阿里巴巴与拼多多财报对比及经营分析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阿里巴巴和拼多多6年损益表现展开练习。学员分组研究，分享对两企业财报看法。分析指出阿里巴巴成长放缓、利润人为调整等问题；拼多多营收和净利润增长佳，销售与管理费用率优。还对比两企业资产负债表，强调财务知识对经营者和投资者的重要性。</w:t>
            </w:r>
          </w:p>
        </w:tc>
      </w:tr>
    </w:tbl>
    <w:p>
      <w:pPr>
        <w:spacing w:before="120" w:after="120" w:line="288" w:lineRule="auto"/>
        <w:ind w:left="0"/>
        <w:jc w:val="left"/>
      </w:pPr>
      <w:hyperlink r:id="rId23">
        <w:r>
          <w:rPr>
            <w:rFonts w:eastAsia="等线" w:ascii="Arial" w:cs="Arial" w:hAnsi="Arial"/>
            <w:color w:val="3370ff"/>
            <w:sz w:val="22"/>
          </w:rPr>
          <w:t>02:25:25</w:t>
        </w:r>
      </w:hyperlink>
      <w:r>
        <w:rPr>
          <w:rFonts w:eastAsia="等线" w:ascii="Arial" w:cs="Arial" w:hAnsi="Arial"/>
          <w:b w:val="true"/>
          <w:sz w:val="22"/>
        </w:rPr>
        <w:t xml:space="preserve">  索洛模型解读及企业增长与财报分析建议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先介绍罗伯特·索洛及其提出的索洛模型，指出国家GDP受全要素生产率、资本存量、劳动力总量驱动，企业也适用该模型，且会面临资本边际效应递减。当前中国房市下滑、劳动力达峰，提升新质生产力（即全要素生产率）是出路。还以阿里和拼多多为例说明不同增长驱动，最后给出财务模块两件待办事项。</w:t>
            </w:r>
          </w:p>
        </w:tc>
      </w:tr>
    </w:tbl>
    <w:p>
      <w:pPr>
        <w:spacing w:before="120" w:after="120" w:line="288" w:lineRule="auto"/>
        <w:ind w:left="0"/>
        <w:jc w:val="left"/>
      </w:pPr>
      <w:hyperlink r:id="rId24">
        <w:r>
          <w:rPr>
            <w:rFonts w:eastAsia="等线" w:ascii="Arial" w:cs="Arial" w:hAnsi="Arial"/>
            <w:color w:val="3370ff"/>
            <w:sz w:val="22"/>
          </w:rPr>
          <w:t>02:31:49</w:t>
        </w:r>
      </w:hyperlink>
      <w:r>
        <w:rPr>
          <w:rFonts w:eastAsia="等线" w:ascii="Arial" w:cs="Arial" w:hAnsi="Arial"/>
          <w:b w:val="true"/>
          <w:sz w:val="22"/>
        </w:rPr>
        <w:t xml:space="preserve">  经营分析8大方法及损益管理基础分享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总结经营分析的8大方法，业务侧有4种，包括趋势分析法、盈利分析法、要素分析法、根因分析法；财务侧除掌握业务侧4种方法外，还需掌握资产回报分析、财务稳健分析、行业比对分析等4种。库存周转率是横跨财务与业务的重要指标。最后表示已用两小时讲解经营者损益管理能力及经营分析会基础。</w:t>
            </w:r>
          </w:p>
        </w:tc>
      </w:tr>
    </w:tbl>
    <w:p>
      <w:pPr>
        <w:spacing w:before="120" w:after="120" w:line="288" w:lineRule="auto"/>
        <w:ind w:left="0"/>
        <w:jc w:val="left"/>
      </w:pPr>
      <w:hyperlink r:id="rId25">
        <w:r>
          <w:rPr>
            <w:rFonts w:eastAsia="等线" w:ascii="Arial" w:cs="Arial" w:hAnsi="Arial"/>
            <w:color w:val="3370ff"/>
            <w:sz w:val="22"/>
          </w:rPr>
          <w:t>02:36:59</w:t>
        </w:r>
      </w:hyperlink>
      <w:r>
        <w:rPr>
          <w:rFonts w:eastAsia="等线" w:ascii="Arial" w:cs="Arial" w:hAnsi="Arial"/>
          <w:b w:val="true"/>
          <w:sz w:val="22"/>
        </w:rPr>
        <w:t xml:space="preserve">  财务分析视角及三张报表要点分享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说话人1以CEO视角分享财务分析，适用于非财务学友经营公司。介绍三张财务报表：利润表看资产回报率；资产负债表看资产负债率，净资产回报率超15%、资产负债率30%上下较优；现金流量表看经营现金流，净现比大于1较优、小于0.6企业有问题。说话人7告知下午安排及中午用餐地点。</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关键决策</w:t>
      </w:r>
      <w:bookmarkEnd w:id="3"/>
    </w:p>
    <w:p>
      <w:pPr>
        <w:numPr>
          <w:numId w:val="65"/>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：学会开好经营分析会，提升经营质量和实现高价值增长。</w:t>
      </w:r>
    </w:p>
    <w:p>
      <w:pPr>
        <w:numPr>
          <w:numId w:val="66"/>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：经营分析会存在成本高、效率低、易开成吐槽会等问题，难以有效解决问题和提升团队士气，且多数企业对经营分析会的定位和价值不清晰，缺乏有效的方法和策略。</w:t>
      </w:r>
    </w:p>
    <w:p>
      <w:pPr>
        <w:numPr>
          <w:numId w:val="67"/>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68"/>
        </w:numPr>
        <w:spacing w:before="120" w:after="120" w:line="288" w:lineRule="auto"/>
        <w:ind w:left="907"/>
        <w:jc w:val="left"/>
      </w:pPr>
      <w:r>
        <w:rPr>
          <w:rFonts w:eastAsia="等线" w:ascii="Arial" w:cs="Arial" w:hAnsi="Arial"/>
          <w:sz w:val="22"/>
        </w:rPr>
        <w:t>说话人1提出经营分析会应聚焦业务决策调优，以经营者的视角看待会议内容和做出关键决策。</w:t>
      </w:r>
    </w:p>
    <w:p>
      <w:pPr>
        <w:numPr>
          <w:numId w:val="69"/>
        </w:numPr>
        <w:spacing w:before="120" w:after="120" w:line="288" w:lineRule="auto"/>
        <w:ind w:left="907"/>
        <w:jc w:val="left"/>
      </w:pPr>
      <w:r>
        <w:rPr>
          <w:rFonts w:eastAsia="等线" w:ascii="Arial" w:cs="Arial" w:hAnsi="Arial"/>
          <w:sz w:val="22"/>
        </w:rPr>
        <w:t>强调经营分析会的组织要素，包括时间（财务月度关账后第一时间，一般不超过当月十五号）、参会人员（公司经营班子成员，不超过10人）、时长（不超过半天，理想状态为2小时）等。</w:t>
      </w:r>
    </w:p>
    <w:p>
      <w:pPr>
        <w:numPr>
          <w:numId w:val="70"/>
        </w:numPr>
        <w:spacing w:before="120" w:after="120" w:line="288" w:lineRule="auto"/>
        <w:ind w:left="907"/>
        <w:jc w:val="left"/>
      </w:pPr>
      <w:r>
        <w:rPr>
          <w:rFonts w:eastAsia="等线" w:ascii="Arial" w:cs="Arial" w:hAnsi="Arial"/>
          <w:sz w:val="22"/>
        </w:rPr>
        <w:t>介绍经营分析会的基础篇步骤，包括财务模块（以损益管理为导向，关注趋势、效率和完成率）、业务模块（以经营目标为导向）和组织模块（以支撑业务为导向）。</w:t>
      </w:r>
    </w:p>
    <w:p>
      <w:pPr>
        <w:numPr>
          <w:numId w:val="71"/>
        </w:numPr>
        <w:spacing w:before="120" w:after="120" w:line="288" w:lineRule="auto"/>
        <w:ind w:left="907"/>
        <w:jc w:val="left"/>
      </w:pPr>
      <w:r>
        <w:rPr>
          <w:rFonts w:eastAsia="等线" w:ascii="Arial" w:cs="Arial" w:hAnsi="Arial"/>
          <w:sz w:val="22"/>
        </w:rPr>
        <w:t>详细讲解损益表的解读方法和关键指标，如毛利率、销售费用率、净利润率等，以及如何通过这些指标判断企业的经营状况和竞争力。</w:t>
      </w:r>
    </w:p>
    <w:p>
      <w:pPr>
        <w:numPr>
          <w:numId w:val="72"/>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通过提升经营分析会的质量和效率，能够帮助企业更好地分析经营成果，及时调整策略，实现高价值增长。同时，具备一定的财务和会计知识，能够从财务报表中洞察企业的经营能力、经营风格和人品，为企业的决策提供有力支持。</w:t>
      </w:r>
    </w:p>
    <w:p>
      <w:pPr>
        <w:pBdr>
          <w:bottom w:val="single" w:color="dee0e3"/>
          <w:between w:val="single" w:color="dee0e3"/>
        </w:pBdr>
        <w:spacing w:before="120" w:after="120" w:line="288" w:lineRule="auto"/>
        <w:ind w:left="0"/>
      </w:pPr>
    </w:p>
    <w:p>
      <w:pPr>
        <w:numPr>
          <w:numId w:val="73"/>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74"/>
        </w:numPr>
        <w:spacing w:before="120" w:after="120" w:line="288" w:lineRule="auto"/>
        <w:ind w:left="453"/>
        <w:jc w:val="left"/>
      </w:pPr>
      <w:r>
        <w:rPr>
          <w:rFonts w:eastAsia="等线" w:ascii="Arial" w:cs="Arial" w:hAnsi="Arial"/>
          <w:sz w:val="22"/>
        </w:rPr>
        <w:t>各小组分工研究阿里巴巴和拼多多过去6年的财报，分析其优缺点，并提出优化建议和对下一年度的判断。</w:t>
      </w:r>
    </w:p>
    <w:p>
      <w:pPr>
        <w:numPr>
          <w:numId w:val="75"/>
        </w:numPr>
        <w:spacing w:before="120" w:after="120" w:line="288" w:lineRule="auto"/>
        <w:ind w:left="453"/>
        <w:jc w:val="left"/>
      </w:pPr>
      <w:r>
        <w:rPr>
          <w:rFonts w:eastAsia="等线" w:ascii="Arial" w:cs="Arial" w:hAnsi="Arial"/>
          <w:sz w:val="22"/>
        </w:rPr>
        <w:t>建议企业回去后将自己的七贤琴报表做出来，并标注重要和异常的数字，围绕成长性、规模性、连续性和逻辑性解读损益表。</w:t>
      </w:r>
    </w:p>
    <w:p>
      <w:pPr>
        <w:numPr>
          <w:numId w:val="76"/>
        </w:numPr>
        <w:spacing w:before="120" w:after="120" w:line="288" w:lineRule="auto"/>
        <w:ind w:left="453"/>
        <w:jc w:val="left"/>
      </w:pPr>
      <w:r>
        <w:rPr>
          <w:rFonts w:eastAsia="等线" w:ascii="Arial" w:cs="Arial" w:hAnsi="Arial"/>
          <w:sz w:val="22"/>
        </w:rPr>
        <w:t>业务侧和财务侧分别掌握不同的经营分析方法，业务侧包括趋势分析法、盈利分析法、要素分析法和根因分析法；财务侧除掌握业务侧方法外，还需掌握资产回报分析、财务稳健分析、行业比对分析等方法。</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金句时刻</w:t>
      </w:r>
      <w:bookmarkEnd w:id="4"/>
    </w:p>
    <w:p>
      <w:pPr>
        <w:spacing w:before="120" w:after="120" w:line="288" w:lineRule="auto"/>
        <w:ind w:left="0"/>
        <w:jc w:val="left"/>
      </w:pPr>
      <w:r>
        <w:rPr>
          <w:rFonts w:eastAsia="等线" w:ascii="Arial" w:cs="Arial" w:hAnsi="Arial"/>
          <w:sz w:val="22"/>
        </w:rPr>
        <w:t>「经营分析会的核心在于业务决策调优。」</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明确了经营分析会的关键要点，强调将会议重心放在业务决策的优化上，有助于解决经营分析会中常见的问题，推动企业经营成果的提升。</w:t>
      </w:r>
    </w:p>
    <w:p>
      <w:pPr>
        <w:spacing w:before="120" w:after="120" w:line="288" w:lineRule="auto"/>
        <w:ind w:left="0"/>
        <w:jc w:val="left"/>
      </w:pPr>
    </w:p>
    <w:p>
      <w:pPr>
        <w:spacing w:before="120" w:after="120" w:line="288" w:lineRule="auto"/>
        <w:ind w:left="0"/>
        <w:jc w:val="left"/>
      </w:pPr>
      <w:r>
        <w:rPr>
          <w:rFonts w:eastAsia="等线" w:ascii="Arial" w:cs="Arial" w:hAnsi="Arial"/>
          <w:sz w:val="22"/>
        </w:rPr>
        <w:t>「没有护城河的企业，其显著的特点是它的毛利率会随着市场竞争的加剧不断下降；没有护城河的企业，它的销售费用率会逐年攀升。」</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通过毛利率和销售费用率这两个关键指标，清晰地阐述了如何判断企业是否具有护城河，为评估企业的竞争力提供了重要依据。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「如果看未来的潜力来讲的话，拼多多的整个的增长的潜力是要远远高于其他的同行竞争对手，因为他一直围绕着全要素生产率在构建他们的核心能力。」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通过对拼多多和其他同行竞争对手的对比分析，指出拼多多围绕全要素生产率构建核心能力，具有更高的增长潜力，为企业的发展战略提供了启示。</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相关链接</w:t>
      </w:r>
      <w:bookmarkEnd w:id="5"/>
    </w:p>
    <w:p>
      <w:pPr>
        <w:numPr>
          <w:numId w:val="77"/>
        </w:numPr>
        <w:spacing w:before="120" w:after="120" w:line="288" w:lineRule="auto"/>
        <w:ind w:left="0"/>
        <w:jc w:val="left"/>
      </w:pPr>
      <w:r>
        <w:rPr>
          <w:rFonts w:eastAsia="等线" w:ascii="Arial" w:cs="Arial" w:hAnsi="Arial"/>
          <w:sz w:val="22"/>
        </w:rPr>
        <w:t>妙记：</w:t>
      </w:r>
      <w:hyperlink r:id="rId26">
        <w:r>
          <w:rPr>
            <w:rFonts w:eastAsia="等线" w:ascii="Arial" w:cs="Arial" w:hAnsi="Arial"/>
            <w:color w:val="3370ff"/>
            <w:sz w:val="22"/>
          </w:rPr>
          <w:t>月度经营分析会01</w:t>
        </w:r>
      </w:hyperlink>
    </w:p>
    <w:p>
      <w:pPr>
        <w:numPr>
          <w:numId w:val="78"/>
        </w:numPr>
        <w:spacing w:before="120" w:after="120" w:line="288" w:lineRule="auto"/>
        <w:ind w:left="0"/>
        <w:jc w:val="left"/>
      </w:pPr>
      <w:r>
        <w:rPr>
          <w:rFonts w:eastAsia="等线" w:ascii="Arial" w:cs="Arial" w:hAnsi="Arial"/>
          <w:sz w:val="22"/>
        </w:rPr>
        <w:t>文字记录</w:t>
      </w:r>
    </w:p>
    <w:p>
      <w:pPr>
        <w:numPr>
          <w:numId w:val="79"/>
        </w:numPr>
        <w:spacing w:before="120" w:after="120" w:line="288" w:lineRule="auto"/>
        <w:ind w:left="453"/>
        <w:jc w:val="left"/>
      </w:pPr>
      <w:hyperlink r:id="rId27">
        <w:r>
          <w:rPr>
            <w:rFonts w:eastAsia="等线" w:ascii="Arial" w:cs="Arial" w:hAnsi="Arial"/>
            <w:color w:val="3370ff"/>
            <w:sz w:val="22"/>
          </w:rPr>
          <w:t>月度经营分析会01 2026年1月12日</w:t>
        </w:r>
      </w:hyperlink>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45312">
    <w:lvl>
      <w:numFmt w:val="bullet"/>
      <w:suff w:val="tab"/>
      <w:lvlText w:val="•"/>
      <w:rPr>
        <w:color w:val="3370ff"/>
      </w:rPr>
    </w:lvl>
  </w:abstractNum>
  <w:abstractNum w:abstractNumId="645313">
    <w:lvl>
      <w:numFmt w:val="bullet"/>
      <w:suff w:val="tab"/>
      <w:lvlText w:val="￮"/>
      <w:rPr>
        <w:color w:val="3370ff"/>
      </w:rPr>
    </w:lvl>
  </w:abstractNum>
  <w:abstractNum w:abstractNumId="645314">
    <w:lvl>
      <w:numFmt w:val="bullet"/>
      <w:suff w:val="tab"/>
      <w:lvlText w:val="▪"/>
      <w:rPr>
        <w:color w:val="3370ff"/>
        <w:sz w:val="11"/>
      </w:rPr>
    </w:lvl>
  </w:abstractNum>
  <w:abstractNum w:abstractNumId="645315">
    <w:lvl>
      <w:numFmt w:val="bullet"/>
      <w:suff w:val="tab"/>
      <w:lvlText w:val="▪"/>
      <w:rPr>
        <w:color w:val="3370ff"/>
        <w:sz w:val="11"/>
      </w:rPr>
    </w:lvl>
  </w:abstractNum>
  <w:abstractNum w:abstractNumId="645316">
    <w:lvl>
      <w:numFmt w:val="bullet"/>
      <w:suff w:val="tab"/>
      <w:lvlText w:val="￮"/>
      <w:rPr>
        <w:color w:val="3370ff"/>
      </w:rPr>
    </w:lvl>
  </w:abstractNum>
  <w:abstractNum w:abstractNumId="645317">
    <w:lvl>
      <w:numFmt w:val="bullet"/>
      <w:suff w:val="tab"/>
      <w:lvlText w:val="▪"/>
      <w:rPr>
        <w:color w:val="3370ff"/>
        <w:sz w:val="11"/>
      </w:rPr>
    </w:lvl>
  </w:abstractNum>
  <w:abstractNum w:abstractNumId="645318">
    <w:lvl>
      <w:numFmt w:val="bullet"/>
      <w:suff w:val="tab"/>
      <w:lvlText w:val="▪"/>
      <w:rPr>
        <w:color w:val="3370ff"/>
        <w:sz w:val="11"/>
      </w:rPr>
    </w:lvl>
  </w:abstractNum>
  <w:abstractNum w:abstractNumId="645319">
    <w:lvl>
      <w:numFmt w:val="bullet"/>
      <w:suff w:val="tab"/>
      <w:lvlText w:val="•"/>
      <w:rPr>
        <w:color w:val="3370ff"/>
      </w:rPr>
    </w:lvl>
  </w:abstractNum>
  <w:abstractNum w:abstractNumId="645320">
    <w:lvl>
      <w:numFmt w:val="bullet"/>
      <w:suff w:val="tab"/>
      <w:lvlText w:val="￮"/>
      <w:rPr>
        <w:color w:val="3370ff"/>
      </w:rPr>
    </w:lvl>
  </w:abstractNum>
  <w:abstractNum w:abstractNumId="645321">
    <w:lvl>
      <w:numFmt w:val="bullet"/>
      <w:suff w:val="tab"/>
      <w:lvlText w:val="￮"/>
      <w:rPr>
        <w:color w:val="3370ff"/>
      </w:rPr>
    </w:lvl>
  </w:abstractNum>
  <w:abstractNum w:abstractNumId="645322">
    <w:lvl>
      <w:numFmt w:val="bullet"/>
      <w:suff w:val="tab"/>
      <w:lvlText w:val="￮"/>
      <w:rPr>
        <w:color w:val="3370ff"/>
      </w:rPr>
    </w:lvl>
  </w:abstractNum>
  <w:abstractNum w:abstractNumId="645323">
    <w:lvl>
      <w:numFmt w:val="bullet"/>
      <w:suff w:val="tab"/>
      <w:lvlText w:val="￮"/>
      <w:rPr>
        <w:color w:val="3370ff"/>
      </w:rPr>
    </w:lvl>
  </w:abstractNum>
  <w:abstractNum w:abstractNumId="645324">
    <w:lvl>
      <w:numFmt w:val="bullet"/>
      <w:suff w:val="tab"/>
      <w:lvlText w:val="•"/>
      <w:rPr>
        <w:color w:val="3370ff"/>
      </w:rPr>
    </w:lvl>
  </w:abstractNum>
  <w:abstractNum w:abstractNumId="645325">
    <w:lvl>
      <w:numFmt w:val="bullet"/>
      <w:suff w:val="tab"/>
      <w:lvlText w:val="￮"/>
      <w:rPr>
        <w:color w:val="3370ff"/>
      </w:rPr>
    </w:lvl>
  </w:abstractNum>
  <w:abstractNum w:abstractNumId="645326">
    <w:lvl>
      <w:numFmt w:val="bullet"/>
      <w:suff w:val="tab"/>
      <w:lvlText w:val="￮"/>
      <w:rPr>
        <w:color w:val="3370ff"/>
      </w:rPr>
    </w:lvl>
  </w:abstractNum>
  <w:abstractNum w:abstractNumId="645327">
    <w:lvl>
      <w:numFmt w:val="bullet"/>
      <w:suff w:val="tab"/>
      <w:lvlText w:val="▪"/>
      <w:rPr>
        <w:color w:val="3370ff"/>
        <w:sz w:val="11"/>
      </w:rPr>
    </w:lvl>
  </w:abstractNum>
  <w:abstractNum w:abstractNumId="645328">
    <w:lvl>
      <w:numFmt w:val="bullet"/>
      <w:suff w:val="tab"/>
      <w:lvlText w:val="•"/>
      <w:rPr>
        <w:color w:val="3370ff"/>
      </w:rPr>
    </w:lvl>
  </w:abstractNum>
  <w:abstractNum w:abstractNumId="645329">
    <w:lvl>
      <w:numFmt w:val="bullet"/>
      <w:suff w:val="tab"/>
      <w:lvlText w:val="•"/>
      <w:rPr>
        <w:color w:val="3370ff"/>
      </w:rPr>
    </w:lvl>
  </w:abstractNum>
  <w:abstractNum w:abstractNumId="645330">
    <w:lvl>
      <w:numFmt w:val="bullet"/>
      <w:suff w:val="tab"/>
      <w:lvlText w:val="•"/>
      <w:rPr>
        <w:color w:val="3370ff"/>
      </w:rPr>
    </w:lvl>
  </w:abstractNum>
  <w:abstractNum w:abstractNumId="645331">
    <w:lvl>
      <w:numFmt w:val="bullet"/>
      <w:suff w:val="tab"/>
      <w:lvlText w:val="•"/>
      <w:rPr>
        <w:color w:val="3370ff"/>
      </w:rPr>
    </w:lvl>
  </w:abstractNum>
  <w:abstractNum w:abstractNumId="645332">
    <w:lvl>
      <w:numFmt w:val="bullet"/>
      <w:suff w:val="tab"/>
      <w:lvlText w:val="▪"/>
      <w:rPr>
        <w:color w:val="3370ff"/>
        <w:sz w:val="11"/>
      </w:rPr>
    </w:lvl>
  </w:abstractNum>
  <w:abstractNum w:abstractNumId="645333">
    <w:lvl>
      <w:numFmt w:val="bullet"/>
      <w:suff w:val="tab"/>
      <w:lvlText w:val="▪"/>
      <w:rPr>
        <w:color w:val="3370ff"/>
        <w:sz w:val="11"/>
      </w:rPr>
    </w:lvl>
  </w:abstractNum>
  <w:abstractNum w:abstractNumId="645334">
    <w:lvl>
      <w:numFmt w:val="bullet"/>
      <w:suff w:val="tab"/>
      <w:lvlText w:val="•"/>
      <w:rPr>
        <w:color w:val="3370ff"/>
      </w:rPr>
    </w:lvl>
  </w:abstractNum>
  <w:abstractNum w:abstractNumId="645335">
    <w:lvl>
      <w:numFmt w:val="bullet"/>
      <w:suff w:val="tab"/>
      <w:lvlText w:val="￮"/>
      <w:rPr>
        <w:color w:val="3370ff"/>
      </w:rPr>
    </w:lvl>
  </w:abstractNum>
  <w:abstractNum w:abstractNumId="645336">
    <w:lvl>
      <w:numFmt w:val="bullet"/>
      <w:suff w:val="tab"/>
      <w:lvlText w:val="•"/>
      <w:rPr>
        <w:color w:val="3370ff"/>
      </w:rPr>
    </w:lvl>
  </w:abstractNum>
  <w:abstractNum w:abstractNumId="645337">
    <w:lvl>
      <w:numFmt w:val="bullet"/>
      <w:suff w:val="tab"/>
      <w:lvlText w:val="•"/>
      <w:rPr>
        <w:color w:val="3370ff"/>
      </w:rPr>
    </w:lvl>
  </w:abstractNum>
  <w:abstractNum w:abstractNumId="645338">
    <w:lvl>
      <w:numFmt w:val="bullet"/>
      <w:suff w:val="tab"/>
      <w:lvlText w:val="•"/>
      <w:rPr>
        <w:color w:val="3370ff"/>
      </w:rPr>
    </w:lvl>
  </w:abstractNum>
  <w:abstractNum w:abstractNumId="645339">
    <w:lvl>
      <w:numFmt w:val="bullet"/>
      <w:suff w:val="tab"/>
      <w:lvlText w:val="▪"/>
      <w:rPr>
        <w:color w:val="3370ff"/>
        <w:sz w:val="11"/>
      </w:rPr>
    </w:lvl>
  </w:abstractNum>
  <w:abstractNum w:abstractNumId="645340">
    <w:lvl>
      <w:numFmt w:val="bullet"/>
      <w:suff w:val="tab"/>
      <w:lvlText w:val="▪"/>
      <w:rPr>
        <w:color w:val="3370ff"/>
        <w:sz w:val="11"/>
      </w:rPr>
    </w:lvl>
  </w:abstractNum>
  <w:abstractNum w:abstractNumId="645341">
    <w:lvl>
      <w:numFmt w:val="bullet"/>
      <w:suff w:val="tab"/>
      <w:lvlText w:val="▪"/>
      <w:rPr>
        <w:color w:val="3370ff"/>
        <w:sz w:val="11"/>
      </w:rPr>
    </w:lvl>
  </w:abstractNum>
  <w:abstractNum w:abstractNumId="645342">
    <w:lvl>
      <w:numFmt w:val="bullet"/>
      <w:suff w:val="tab"/>
      <w:lvlText w:val="￮"/>
      <w:rPr>
        <w:color w:val="3370ff"/>
      </w:rPr>
    </w:lvl>
  </w:abstractNum>
  <w:abstractNum w:abstractNumId="645343">
    <w:lvl>
      <w:numFmt w:val="bullet"/>
      <w:suff w:val="tab"/>
      <w:lvlText w:val="▪"/>
      <w:rPr>
        <w:color w:val="3370ff"/>
        <w:sz w:val="11"/>
      </w:rPr>
    </w:lvl>
  </w:abstractNum>
  <w:abstractNum w:abstractNumId="645344">
    <w:lvl>
      <w:numFmt w:val="bullet"/>
      <w:suff w:val="tab"/>
      <w:lvlText w:val="▪"/>
      <w:rPr>
        <w:color w:val="3370ff"/>
        <w:sz w:val="11"/>
      </w:rPr>
    </w:lvl>
  </w:abstractNum>
  <w:abstractNum w:abstractNumId="645345">
    <w:lvl>
      <w:numFmt w:val="bullet"/>
      <w:suff w:val="tab"/>
      <w:lvlText w:val="•"/>
      <w:rPr>
        <w:color w:val="3370ff"/>
      </w:rPr>
    </w:lvl>
  </w:abstractNum>
  <w:abstractNum w:abstractNumId="645346">
    <w:lvl>
      <w:numFmt w:val="bullet"/>
      <w:suff w:val="tab"/>
      <w:lvlText w:val="•"/>
      <w:rPr>
        <w:color w:val="3370ff"/>
      </w:rPr>
    </w:lvl>
  </w:abstractNum>
  <w:abstractNum w:abstractNumId="645347">
    <w:lvl>
      <w:numFmt w:val="bullet"/>
      <w:suff w:val="tab"/>
      <w:lvlText w:val="￮"/>
      <w:rPr>
        <w:color w:val="3370ff"/>
      </w:rPr>
    </w:lvl>
  </w:abstractNum>
  <w:abstractNum w:abstractNumId="645348">
    <w:lvl>
      <w:numFmt w:val="bullet"/>
      <w:suff w:val="tab"/>
      <w:lvlText w:val="￮"/>
      <w:rPr>
        <w:color w:val="3370ff"/>
      </w:rPr>
    </w:lvl>
  </w:abstractNum>
  <w:abstractNum w:abstractNumId="645349">
    <w:lvl>
      <w:numFmt w:val="bullet"/>
      <w:suff w:val="tab"/>
      <w:lvlText w:val="￮"/>
      <w:rPr>
        <w:color w:val="3370ff"/>
      </w:rPr>
    </w:lvl>
  </w:abstractNum>
  <w:abstractNum w:abstractNumId="645350">
    <w:lvl>
      <w:numFmt w:val="bullet"/>
      <w:suff w:val="tab"/>
      <w:lvlText w:val="￮"/>
      <w:rPr>
        <w:color w:val="3370ff"/>
      </w:rPr>
    </w:lvl>
  </w:abstractNum>
  <w:abstractNum w:abstractNumId="645351">
    <w:lvl>
      <w:numFmt w:val="bullet"/>
      <w:suff w:val="tab"/>
      <w:lvlText w:val="▪"/>
      <w:rPr>
        <w:color w:val="3370ff"/>
        <w:sz w:val="11"/>
      </w:rPr>
    </w:lvl>
  </w:abstractNum>
  <w:abstractNum w:abstractNumId="645352">
    <w:lvl>
      <w:numFmt w:val="bullet"/>
      <w:suff w:val="tab"/>
      <w:lvlText w:val="▪"/>
      <w:rPr>
        <w:color w:val="3370ff"/>
        <w:sz w:val="11"/>
      </w:rPr>
    </w:lvl>
  </w:abstractNum>
  <w:abstractNum w:abstractNumId="645353">
    <w:lvl>
      <w:numFmt w:val="bullet"/>
      <w:suff w:val="tab"/>
      <w:lvlText w:val="￮"/>
      <w:rPr>
        <w:color w:val="3370ff"/>
      </w:rPr>
    </w:lvl>
  </w:abstractNum>
  <w:abstractNum w:abstractNumId="645354">
    <w:lvl>
      <w:numFmt w:val="bullet"/>
      <w:suff w:val="tab"/>
      <w:lvlText w:val="▪"/>
      <w:rPr>
        <w:color w:val="3370ff"/>
        <w:sz w:val="11"/>
      </w:rPr>
    </w:lvl>
  </w:abstractNum>
  <w:abstractNum w:abstractNumId="645355">
    <w:lvl>
      <w:numFmt w:val="bullet"/>
      <w:suff w:val="tab"/>
      <w:lvlText w:val="▪"/>
      <w:rPr>
        <w:color w:val="3370ff"/>
        <w:sz w:val="11"/>
      </w:rPr>
    </w:lvl>
  </w:abstractNum>
  <w:abstractNum w:abstractNumId="645356">
    <w:lvl>
      <w:numFmt w:val="bullet"/>
      <w:suff w:val="tab"/>
      <w:lvlText w:val="•"/>
      <w:rPr>
        <w:color w:val="3370ff"/>
      </w:rPr>
    </w:lvl>
  </w:abstractNum>
  <w:abstractNum w:abstractNumId="645357">
    <w:lvl>
      <w:numFmt w:val="bullet"/>
      <w:suff w:val="tab"/>
      <w:lvlText w:val="￮"/>
      <w:rPr>
        <w:color w:val="3370ff"/>
      </w:rPr>
    </w:lvl>
  </w:abstractNum>
  <w:abstractNum w:abstractNumId="645358">
    <w:lvl>
      <w:numFmt w:val="bullet"/>
      <w:suff w:val="tab"/>
      <w:lvlText w:val="▪"/>
      <w:rPr>
        <w:color w:val="3370ff"/>
        <w:sz w:val="11"/>
      </w:rPr>
    </w:lvl>
  </w:abstractNum>
  <w:abstractNum w:abstractNumId="645359">
    <w:lvl>
      <w:numFmt w:val="bullet"/>
      <w:suff w:val="tab"/>
      <w:lvlText w:val="▪"/>
      <w:rPr>
        <w:color w:val="3370ff"/>
        <w:sz w:val="11"/>
      </w:rPr>
    </w:lvl>
  </w:abstractNum>
  <w:abstractNum w:abstractNumId="645360">
    <w:lvl>
      <w:numFmt w:val="bullet"/>
      <w:suff w:val="tab"/>
      <w:lvlText w:val="▪"/>
      <w:rPr>
        <w:color w:val="3370ff"/>
        <w:sz w:val="11"/>
      </w:rPr>
    </w:lvl>
  </w:abstractNum>
  <w:abstractNum w:abstractNumId="645361">
    <w:lvl>
      <w:numFmt w:val="bullet"/>
      <w:suff w:val="tab"/>
      <w:lvlText w:val="▪"/>
      <w:rPr>
        <w:color w:val="3370ff"/>
        <w:sz w:val="11"/>
      </w:rPr>
    </w:lvl>
  </w:abstractNum>
  <w:abstractNum w:abstractNumId="645362">
    <w:lvl>
      <w:numFmt w:val="bullet"/>
      <w:suff w:val="tab"/>
      <w:lvlText w:val="￮"/>
      <w:rPr>
        <w:color w:val="3370ff"/>
      </w:rPr>
    </w:lvl>
  </w:abstractNum>
  <w:abstractNum w:abstractNumId="645363">
    <w:lvl>
      <w:numFmt w:val="bullet"/>
      <w:suff w:val="tab"/>
      <w:lvlText w:val="▪"/>
      <w:rPr>
        <w:color w:val="3370ff"/>
        <w:sz w:val="11"/>
      </w:rPr>
    </w:lvl>
  </w:abstractNum>
  <w:abstractNum w:abstractNumId="645364">
    <w:lvl>
      <w:numFmt w:val="bullet"/>
      <w:suff w:val="tab"/>
      <w:lvlText w:val="▪"/>
      <w:rPr>
        <w:color w:val="3370ff"/>
        <w:sz w:val="11"/>
      </w:rPr>
    </w:lvl>
  </w:abstractNum>
  <w:abstractNum w:abstractNumId="645365">
    <w:lvl>
      <w:numFmt w:val="bullet"/>
      <w:suff w:val="tab"/>
      <w:lvlText w:val="▪"/>
      <w:rPr>
        <w:color w:val="3370ff"/>
        <w:sz w:val="11"/>
      </w:rPr>
    </w:lvl>
  </w:abstractNum>
  <w:abstractNum w:abstractNumId="645366">
    <w:lvl>
      <w:numFmt w:val="bullet"/>
      <w:suff w:val="tab"/>
      <w:lvlText w:val="•"/>
      <w:rPr>
        <w:color w:val="3370ff"/>
      </w:rPr>
    </w:lvl>
  </w:abstractNum>
  <w:abstractNum w:abstractNumId="645367">
    <w:lvl>
      <w:numFmt w:val="bullet"/>
      <w:suff w:val="tab"/>
      <w:lvlText w:val="￮"/>
      <w:rPr>
        <w:color w:val="3370ff"/>
      </w:rPr>
    </w:lvl>
  </w:abstractNum>
  <w:abstractNum w:abstractNumId="645368">
    <w:lvl>
      <w:numFmt w:val="bullet"/>
      <w:suff w:val="tab"/>
      <w:lvlText w:val="￮"/>
      <w:rPr>
        <w:color w:val="3370ff"/>
      </w:rPr>
    </w:lvl>
  </w:abstractNum>
  <w:abstractNum w:abstractNumId="645369">
    <w:lvl>
      <w:numFmt w:val="bullet"/>
      <w:suff w:val="tab"/>
      <w:lvlText w:val="￮"/>
      <w:rPr>
        <w:color w:val="3370ff"/>
      </w:rPr>
    </w:lvl>
  </w:abstractNum>
  <w:abstractNum w:abstractNumId="645370">
    <w:lvl>
      <w:numFmt w:val="bullet"/>
      <w:suff w:val="tab"/>
      <w:lvlText w:val="•"/>
      <w:rPr>
        <w:color w:val="3370ff"/>
      </w:rPr>
    </w:lvl>
  </w:abstractNum>
  <w:abstractNum w:abstractNumId="645371">
    <w:lvl>
      <w:numFmt w:val="bullet"/>
      <w:suff w:val="tab"/>
      <w:lvlText w:val="￮"/>
      <w:rPr>
        <w:color w:val="3370ff"/>
      </w:rPr>
    </w:lvl>
  </w:abstractNum>
  <w:abstractNum w:abstractNumId="645372">
    <w:lvl>
      <w:numFmt w:val="bullet"/>
      <w:suff w:val="tab"/>
      <w:lvlText w:val="￮"/>
      <w:rPr>
        <w:color w:val="3370ff"/>
      </w:rPr>
    </w:lvl>
  </w:abstractNum>
  <w:abstractNum w:abstractNumId="645373">
    <w:lvl>
      <w:numFmt w:val="bullet"/>
      <w:suff w:val="tab"/>
      <w:lvlText w:val="￮"/>
      <w:rPr>
        <w:color w:val="3370ff"/>
      </w:rPr>
    </w:lvl>
  </w:abstractNum>
  <w:abstractNum w:abstractNumId="645374">
    <w:lvl>
      <w:numFmt w:val="bullet"/>
      <w:suff w:val="space"/>
      <w:lvlText w:val="□"/>
    </w:lvl>
  </w:abstractNum>
  <w:abstractNum w:abstractNumId="645375">
    <w:lvl>
      <w:numFmt w:val="bullet"/>
      <w:suff w:val="space"/>
      <w:lvlText w:val="□"/>
    </w:lvl>
  </w:abstractNum>
  <w:abstractNum w:abstractNumId="645376">
    <w:lvl>
      <w:numFmt w:val="bullet"/>
      <w:suff w:val="tab"/>
      <w:lvlText w:val="•"/>
      <w:rPr>
        <w:color w:val="3370ff"/>
      </w:rPr>
    </w:lvl>
  </w:abstractNum>
  <w:abstractNum w:abstractNumId="645377">
    <w:lvl>
      <w:numFmt w:val="bullet"/>
      <w:suff w:val="tab"/>
      <w:lvlText w:val="￮"/>
      <w:rPr>
        <w:color w:val="3370ff"/>
      </w:rPr>
    </w:lvl>
  </w:abstractNum>
  <w:abstractNum w:abstractNumId="645378">
    <w:lvl>
      <w:numFmt w:val="bullet"/>
      <w:suff w:val="tab"/>
      <w:lvlText w:val="￮"/>
      <w:rPr>
        <w:color w:val="3370ff"/>
      </w:rPr>
    </w:lvl>
  </w:abstractNum>
  <w:abstractNum w:abstractNumId="645379">
    <w:lvl>
      <w:numFmt w:val="bullet"/>
      <w:suff w:val="tab"/>
      <w:lvlText w:val="▪"/>
      <w:rPr>
        <w:color w:val="3370ff"/>
        <w:sz w:val="11"/>
      </w:rPr>
    </w:lvl>
  </w:abstractNum>
  <w:abstractNum w:abstractNumId="645380">
    <w:lvl>
      <w:numFmt w:val="bullet"/>
      <w:suff w:val="tab"/>
      <w:lvlText w:val="▪"/>
      <w:rPr>
        <w:color w:val="3370ff"/>
        <w:sz w:val="11"/>
      </w:rPr>
    </w:lvl>
  </w:abstractNum>
  <w:abstractNum w:abstractNumId="645381">
    <w:lvl>
      <w:numFmt w:val="bullet"/>
      <w:suff w:val="tab"/>
      <w:lvlText w:val="▪"/>
      <w:rPr>
        <w:color w:val="3370ff"/>
        <w:sz w:val="11"/>
      </w:rPr>
    </w:lvl>
  </w:abstractNum>
  <w:abstractNum w:abstractNumId="645382">
    <w:lvl>
      <w:numFmt w:val="bullet"/>
      <w:suff w:val="tab"/>
      <w:lvlText w:val="▪"/>
      <w:rPr>
        <w:color w:val="3370ff"/>
        <w:sz w:val="11"/>
      </w:rPr>
    </w:lvl>
  </w:abstractNum>
  <w:abstractNum w:abstractNumId="645383">
    <w:lvl>
      <w:numFmt w:val="bullet"/>
      <w:suff w:val="tab"/>
      <w:lvlText w:val="￮"/>
      <w:rPr>
        <w:color w:val="3370ff"/>
      </w:rPr>
    </w:lvl>
  </w:abstractNum>
  <w:abstractNum w:abstractNumId="645384">
    <w:lvl>
      <w:numFmt w:val="bullet"/>
      <w:suff w:val="tab"/>
      <w:lvlText w:val="•"/>
      <w:rPr>
        <w:color w:val="3370ff"/>
      </w:rPr>
    </w:lvl>
  </w:abstractNum>
  <w:abstractNum w:abstractNumId="645385">
    <w:lvl>
      <w:start w:val="1"/>
      <w:numFmt w:val="lowerLetter"/>
      <w:suff w:val="tab"/>
      <w:lvlText w:val="%1."/>
      <w:rPr>
        <w:color w:val="3370ff"/>
      </w:rPr>
    </w:lvl>
  </w:abstractNum>
  <w:abstractNum w:abstractNumId="645386">
    <w:lvl>
      <w:start w:val="2"/>
      <w:numFmt w:val="lowerLetter"/>
      <w:suff w:val="tab"/>
      <w:lvlText w:val="%1."/>
      <w:rPr>
        <w:color w:val="3370ff"/>
      </w:rPr>
    </w:lvl>
  </w:abstractNum>
  <w:abstractNum w:abstractNumId="645387">
    <w:lvl>
      <w:start w:val="3"/>
      <w:numFmt w:val="lowerLetter"/>
      <w:suff w:val="tab"/>
      <w:lvlText w:val="%1."/>
      <w:rPr>
        <w:color w:val="3370ff"/>
      </w:rPr>
    </w:lvl>
  </w:abstractNum>
  <w:abstractNum w:abstractNumId="645388">
    <w:lvl>
      <w:numFmt w:val="bullet"/>
      <w:suff w:val="tab"/>
      <w:lvlText w:val="•"/>
      <w:rPr>
        <w:color w:val="3370ff"/>
      </w:rPr>
    </w:lvl>
  </w:abstractNum>
  <w:abstractNum w:abstractNumId="645389">
    <w:lvl>
      <w:numFmt w:val="bullet"/>
      <w:suff w:val="tab"/>
      <w:lvlText w:val="•"/>
      <w:rPr>
        <w:color w:val="3370ff"/>
      </w:rPr>
    </w:lvl>
  </w:abstractNum>
  <w:abstractNum w:abstractNumId="645390">
    <w:lvl>
      <w:numFmt w:val="bullet"/>
      <w:suff w:val="tab"/>
      <w:lvlText w:val="￮"/>
      <w:rPr>
        <w:color w:val="3370ff"/>
      </w:rPr>
    </w:lvl>
  </w:abstractNum>
  <w:num w:numId="1">
    <w:abstractNumId w:val="645312"/>
  </w:num>
  <w:num w:numId="2">
    <w:abstractNumId w:val="645313"/>
  </w:num>
  <w:num w:numId="3">
    <w:abstractNumId w:val="645314"/>
  </w:num>
  <w:num w:numId="4">
    <w:abstractNumId w:val="645315"/>
  </w:num>
  <w:num w:numId="5">
    <w:abstractNumId w:val="645316"/>
  </w:num>
  <w:num w:numId="6">
    <w:abstractNumId w:val="645317"/>
  </w:num>
  <w:num w:numId="7">
    <w:abstractNumId w:val="645318"/>
  </w:num>
  <w:num w:numId="8">
    <w:abstractNumId w:val="645319"/>
  </w:num>
  <w:num w:numId="9">
    <w:abstractNumId w:val="645320"/>
  </w:num>
  <w:num w:numId="10">
    <w:abstractNumId w:val="645321"/>
  </w:num>
  <w:num w:numId="11">
    <w:abstractNumId w:val="645322"/>
  </w:num>
  <w:num w:numId="12">
    <w:abstractNumId w:val="645323"/>
  </w:num>
  <w:num w:numId="13">
    <w:abstractNumId w:val="645324"/>
  </w:num>
  <w:num w:numId="14">
    <w:abstractNumId w:val="645325"/>
  </w:num>
  <w:num w:numId="15">
    <w:abstractNumId w:val="645326"/>
  </w:num>
  <w:num w:numId="16">
    <w:abstractNumId w:val="645327"/>
  </w:num>
  <w:num w:numId="17">
    <w:abstractNumId w:val="645328"/>
  </w:num>
  <w:num w:numId="18">
    <w:abstractNumId w:val="645329"/>
  </w:num>
  <w:num w:numId="19">
    <w:abstractNumId w:val="645330"/>
  </w:num>
  <w:num w:numId="20">
    <w:abstractNumId w:val="645331"/>
  </w:num>
  <w:num w:numId="21">
    <w:abstractNumId w:val="645332"/>
  </w:num>
  <w:num w:numId="22">
    <w:abstractNumId w:val="645333"/>
  </w:num>
  <w:num w:numId="23">
    <w:abstractNumId w:val="645334"/>
  </w:num>
  <w:num w:numId="24">
    <w:abstractNumId w:val="645335"/>
  </w:num>
  <w:num w:numId="25">
    <w:abstractNumId w:val="645336"/>
  </w:num>
  <w:num w:numId="26">
    <w:abstractNumId w:val="645337"/>
  </w:num>
  <w:num w:numId="27">
    <w:abstractNumId w:val="645338"/>
  </w:num>
  <w:num w:numId="28">
    <w:abstractNumId w:val="645339"/>
  </w:num>
  <w:num w:numId="29">
    <w:abstractNumId w:val="645340"/>
  </w:num>
  <w:num w:numId="30">
    <w:abstractNumId w:val="645341"/>
  </w:num>
  <w:num w:numId="31">
    <w:abstractNumId w:val="645342"/>
  </w:num>
  <w:num w:numId="32">
    <w:abstractNumId w:val="645343"/>
  </w:num>
  <w:num w:numId="33">
    <w:abstractNumId w:val="645344"/>
  </w:num>
  <w:num w:numId="34">
    <w:abstractNumId w:val="645345"/>
  </w:num>
  <w:num w:numId="35">
    <w:abstractNumId w:val="645346"/>
  </w:num>
  <w:num w:numId="36">
    <w:abstractNumId w:val="645347"/>
  </w:num>
  <w:num w:numId="37">
    <w:abstractNumId w:val="645348"/>
  </w:num>
  <w:num w:numId="38">
    <w:abstractNumId w:val="645349"/>
  </w:num>
  <w:num w:numId="39">
    <w:abstractNumId w:val="645350"/>
  </w:num>
  <w:num w:numId="40">
    <w:abstractNumId w:val="645351"/>
  </w:num>
  <w:num w:numId="41">
    <w:abstractNumId w:val="645352"/>
  </w:num>
  <w:num w:numId="42">
    <w:abstractNumId w:val="645353"/>
  </w:num>
  <w:num w:numId="43">
    <w:abstractNumId w:val="645354"/>
  </w:num>
  <w:num w:numId="44">
    <w:abstractNumId w:val="645355"/>
  </w:num>
  <w:num w:numId="45">
    <w:abstractNumId w:val="645356"/>
  </w:num>
  <w:num w:numId="46">
    <w:abstractNumId w:val="645357"/>
  </w:num>
  <w:num w:numId="47">
    <w:abstractNumId w:val="645358"/>
  </w:num>
  <w:num w:numId="48">
    <w:abstractNumId w:val="645359"/>
  </w:num>
  <w:num w:numId="49">
    <w:abstractNumId w:val="645360"/>
  </w:num>
  <w:num w:numId="50">
    <w:abstractNumId w:val="645361"/>
  </w:num>
  <w:num w:numId="51">
    <w:abstractNumId w:val="645362"/>
  </w:num>
  <w:num w:numId="52">
    <w:abstractNumId w:val="645363"/>
  </w:num>
  <w:num w:numId="53">
    <w:abstractNumId w:val="645364"/>
  </w:num>
  <w:num w:numId="54">
    <w:abstractNumId w:val="645365"/>
  </w:num>
  <w:num w:numId="55">
    <w:abstractNumId w:val="645366"/>
  </w:num>
  <w:num w:numId="56">
    <w:abstractNumId w:val="645367"/>
  </w:num>
  <w:num w:numId="57">
    <w:abstractNumId w:val="645368"/>
  </w:num>
  <w:num w:numId="58">
    <w:abstractNumId w:val="645369"/>
  </w:num>
  <w:num w:numId="59">
    <w:abstractNumId w:val="645370"/>
  </w:num>
  <w:num w:numId="60">
    <w:abstractNumId w:val="645371"/>
  </w:num>
  <w:num w:numId="61">
    <w:abstractNumId w:val="645372"/>
  </w:num>
  <w:num w:numId="62">
    <w:abstractNumId w:val="645373"/>
  </w:num>
  <w:num w:numId="63">
    <w:abstractNumId w:val="645374"/>
  </w:num>
  <w:num w:numId="64">
    <w:abstractNumId w:val="645375"/>
  </w:num>
  <w:num w:numId="65">
    <w:abstractNumId w:val="645376"/>
  </w:num>
  <w:num w:numId="66">
    <w:abstractNumId w:val="645377"/>
  </w:num>
  <w:num w:numId="67">
    <w:abstractNumId w:val="645378"/>
  </w:num>
  <w:num w:numId="68">
    <w:abstractNumId w:val="645379"/>
  </w:num>
  <w:num w:numId="69">
    <w:abstractNumId w:val="645380"/>
  </w:num>
  <w:num w:numId="70">
    <w:abstractNumId w:val="645381"/>
  </w:num>
  <w:num w:numId="71">
    <w:abstractNumId w:val="645382"/>
  </w:num>
  <w:num w:numId="72">
    <w:abstractNumId w:val="645383"/>
  </w:num>
  <w:num w:numId="73">
    <w:abstractNumId w:val="645384"/>
  </w:num>
  <w:num w:numId="74">
    <w:abstractNumId w:val="645385"/>
  </w:num>
  <w:num w:numId="75">
    <w:abstractNumId w:val="645386"/>
  </w:num>
  <w:num w:numId="76">
    <w:abstractNumId w:val="645387"/>
  </w:num>
  <w:num w:numId="77">
    <w:abstractNumId w:val="645388"/>
  </w:num>
  <w:num w:numId="78">
    <w:abstractNumId w:val="645389"/>
  </w:num>
  <w:num w:numId="79">
    <w:abstractNumId w:val="64539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aowei1.feishu.cn/minutes/obcn8hnb47vu1q8lbivdk49v?t=374000" TargetMode="External" Type="http://schemas.openxmlformats.org/officeDocument/2006/relationships/hyperlink"/><Relationship Id="rId11" Target="https://gaowei1.feishu.cn/minutes/obcn8hnb47vu1q8lbivdk49v?t=470000" TargetMode="External" Type="http://schemas.openxmlformats.org/officeDocument/2006/relationships/hyperlink"/><Relationship Id="rId12" Target="https://gaowei1.feishu.cn/minutes/obcn8hnb47vu1q8lbivdk49v?t=529000" TargetMode="External" Type="http://schemas.openxmlformats.org/officeDocument/2006/relationships/hyperlink"/><Relationship Id="rId13" Target="https://gaowei1.feishu.cn/minutes/obcn8hnb47vu1q8lbivdk49v?t=630000" TargetMode="External" Type="http://schemas.openxmlformats.org/officeDocument/2006/relationships/hyperlink"/><Relationship Id="rId14" Target="https://gaowei1.feishu.cn/minutes/obcn8hnb47vu1q8lbivdk49v?t=1080000" TargetMode="External" Type="http://schemas.openxmlformats.org/officeDocument/2006/relationships/hyperlink"/><Relationship Id="rId15" Target="https://gaowei1.feishu.cn/minutes/obcn8hnb47vu1q8lbivdk49v?t=1376000" TargetMode="External" Type="http://schemas.openxmlformats.org/officeDocument/2006/relationships/hyperlink"/><Relationship Id="rId16" Target="https://gaowei1.feishu.cn/minutes/obcn8hnb47vu1q8lbivdk49v?t=1627000" TargetMode="External" Type="http://schemas.openxmlformats.org/officeDocument/2006/relationships/hyperlink"/><Relationship Id="rId17" Target="https://gaowei1.feishu.cn/minutes/obcn8hnb47vu1q8lbivdk49v?t=2078000" TargetMode="External" Type="http://schemas.openxmlformats.org/officeDocument/2006/relationships/hyperlink"/><Relationship Id="rId18" Target="https://gaowei1.feishu.cn/minutes/obcn8hnb47vu1q8lbivdk49v?t=2643000" TargetMode="External" Type="http://schemas.openxmlformats.org/officeDocument/2006/relationships/hyperlink"/><Relationship Id="rId19" Target="https://gaowei1.feishu.cn/minutes/obcn8hnb47vu1q8lbivdk49v?t=3727000" TargetMode="External" Type="http://schemas.openxmlformats.org/officeDocument/2006/relationships/hyperlink"/><Relationship Id="rId2" Target="styles.xml" Type="http://schemas.openxmlformats.org/officeDocument/2006/relationships/styles"/><Relationship Id="rId20" Target="https://gaowei1.feishu.cn/minutes/obcn8hnb47vu1q8lbivdk49v?t=4272000" TargetMode="External" Type="http://schemas.openxmlformats.org/officeDocument/2006/relationships/hyperlink"/><Relationship Id="rId21" Target="https://gaowei1.feishu.cn/minutes/obcn8hnb47vu1q8lbivdk49v?t=4591000" TargetMode="External" Type="http://schemas.openxmlformats.org/officeDocument/2006/relationships/hyperlink"/><Relationship Id="rId22" Target="https://gaowei1.feishu.cn/minutes/obcn8hnb47vu1q8lbivdk49v?t=5250000" TargetMode="External" Type="http://schemas.openxmlformats.org/officeDocument/2006/relationships/hyperlink"/><Relationship Id="rId23" Target="https://gaowei1.feishu.cn/minutes/obcn8hnb47vu1q8lbivdk49v?t=8725000" TargetMode="External" Type="http://schemas.openxmlformats.org/officeDocument/2006/relationships/hyperlink"/><Relationship Id="rId24" Target="https://gaowei1.feishu.cn/minutes/obcn8hnb47vu1q8lbivdk49v?t=9109000" TargetMode="External" Type="http://schemas.openxmlformats.org/officeDocument/2006/relationships/hyperlink"/><Relationship Id="rId25" Target="https://gaowei1.feishu.cn/minutes/obcn8hnb47vu1q8lbivdk49v?t=9419000" TargetMode="External" Type="http://schemas.openxmlformats.org/officeDocument/2006/relationships/hyperlink"/><Relationship Id="rId26" Target="https://gaowei1.feishu.cn/minutes/obcn8hnb47vu1q8lbivdk49v?from=ai_minutes" TargetMode="External" Type="http://schemas.openxmlformats.org/officeDocument/2006/relationships/hyperlink"/><Relationship Id="rId27" Target="https://gaowei1.feishu.cn/docx/BCTHdma8oox24AxlIGsck1TQnoe" TargetMode="External" Type="http://schemas.openxmlformats.org/officeDocument/2006/relationships/hyperlink"/><Relationship Id="rId28"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https://gaowei1.feishu.cn/minutes/obcn8hnb47vu1q8lbivdk49v?t=3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2026-01-12T02:22:16Z</dcterms:created>
  <dc:creator>Apache POI</dc:creator>
</cp:coreProperties>
</file>