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高维十年战略地图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战略地图</w:t>
      </w:r>
      <w:bookmarkEnd w:id="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5275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10年的三阶段</w:t>
      </w:r>
      <w:bookmarkEnd w:id="1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4322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20"/>
        <w:gridCol w:w="720"/>
        <w:gridCol w:w="1980"/>
        <w:gridCol w:w="2250"/>
        <w:gridCol w:w="2610"/>
      </w:tblGrid>
      <w:tr>
        <w:tc>
          <w:tcPr>
            <w:tcW w:w="144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使命</w:t>
            </w:r>
          </w:p>
        </w:tc>
        <w:tc>
          <w:tcPr>
            <w:tcW w:w="7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84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打造专业、可信赖、极致效价比的商学平台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 xml:space="preserve">联结最具科学方法论和使命感的导师   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成就有事业抱负的新生代企业</w:t>
            </w:r>
          </w:p>
        </w:tc>
        <w:tc>
          <w:tcPr>
            <w:tcW w:w="22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1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44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愿景</w:t>
            </w:r>
          </w:p>
        </w:tc>
        <w:tc>
          <w:tcPr>
            <w:tcW w:w="7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84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到2035年，重构中国商学教育并成为领导者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一站式赋能十万家新生代企业的成长与成功</w:t>
            </w:r>
          </w:p>
        </w:tc>
        <w:tc>
          <w:tcPr>
            <w:tcW w:w="22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1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440" w:type="dxa"/>
            <w:hMerge w:val="restart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三层业务</w:t>
            </w:r>
          </w:p>
        </w:tc>
        <w:tc>
          <w:tcPr>
            <w:tcW w:w="720" w:type="dxa"/>
            <w:hMerge w:val="continue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第一层面（核心业务）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第二层面（发展新业务）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 xml:space="preserve">第三层面 </w:t>
            </w:r>
            <w:r>
              <w:rPr>
                <w:rFonts w:eastAsia="等线" w:ascii="Arial" w:cs="Arial" w:hAnsi="Arial"/>
                <w:sz w:val="22"/>
              </w:rPr>
              <w:t>（种子业务，未来事业机会）</w:t>
            </w:r>
          </w:p>
        </w:tc>
      </w:tr>
      <w:tr>
        <w:tc>
          <w:tcPr>
            <w:tcW w:w="720" w:type="dxa"/>
            <w:hMerge w:val="restart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20" w:type="dxa"/>
            <w:hMerge w:val="continue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【</w:t>
            </w:r>
            <w:r>
              <w:rPr>
                <w:rFonts w:eastAsia="等线" w:ascii="Arial" w:cs="Arial" w:hAnsi="Arial"/>
                <w:b w:val="true"/>
                <w:sz w:val="22"/>
              </w:rPr>
              <w:t>商学好课】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【</w:t>
            </w:r>
            <w:r>
              <w:rPr>
                <w:rFonts w:eastAsia="等线" w:ascii="Arial" w:cs="Arial" w:hAnsi="Arial"/>
                <w:b w:val="true"/>
                <w:sz w:val="22"/>
              </w:rPr>
              <w:t>落地辅导】</w:t>
            </w:r>
          </w:p>
          <w:p>
            <w:pPr>
              <w:numPr>
                <w:numId w:val="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能力训战班/能力进阶班</w:t>
            </w:r>
          </w:p>
          <w:p>
            <w:pPr>
              <w:numPr>
                <w:numId w:val="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落地辅导班（方案）/方案辅导班（3+1）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创始人会员俱乐部（品质，互动，认知高）</w:t>
            </w:r>
          </w:p>
          <w:p>
            <w:pPr>
              <w:numPr>
                <w:numId w:val="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图书&amp;线上内容产品（规模做起来，影响力做大）</w:t>
            </w:r>
          </w:p>
        </w:tc>
      </w:tr>
      <w:tr>
        <w:tc>
          <w:tcPr>
            <w:tcW w:w="72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十年战略发展节奏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三阶段</w:t>
            </w:r>
          </w:p>
        </w:tc>
        <w:tc>
          <w:tcPr>
            <w:tcW w:w="1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第一阶段 3 年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第二阶段 3 年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第三阶段 4 年</w:t>
            </w:r>
          </w:p>
        </w:tc>
      </w:tr>
      <w:tr>
        <w:tc>
          <w:tcPr>
            <w:tcW w:w="72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战略及财务目标</w:t>
            </w:r>
          </w:p>
        </w:tc>
        <w:tc>
          <w:tcPr>
            <w:tcW w:w="1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fff67a"/>
              </w:rPr>
              <w:t>夯实底座，适度开放生态参与，放大商学课及课后方案班的规模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收入：</w:t>
            </w:r>
            <w:r>
              <w:rPr>
                <w:rFonts w:eastAsia="等线" w:ascii="Arial" w:cs="Arial" w:hAnsi="Arial"/>
                <w:sz w:val="22"/>
              </w:rPr>
              <w:t>6亿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产品：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商学课：方案班：能力训练=1:3:1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业务：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公开课业务：落地辅导业务：企服定制业务=1: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能力训练：探索走通产品运营模式，XXX企次，复购率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fff67a"/>
              </w:rPr>
              <w:t>大力开放生态参与，繁荣企服生态的新商学平台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收入：30亿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能力训练：占大头，覆盖面很广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产品：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商学课：方案班：能力训练=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fff67a"/>
              </w:rPr>
              <w:t>规模化的企业端智能定制学习系统+能力训练产品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收入：100亿</w:t>
            </w:r>
          </w:p>
        </w:tc>
      </w:tr>
      <w:tr>
        <w:tc>
          <w:tcPr>
            <w:tcW w:w="72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72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关键举措</w:t>
            </w:r>
          </w:p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【战略】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第一阶段：供需两端开口的适度开放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【战略】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【战略】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72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72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【组织】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构建底座能力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后端入企项目的流程构建和机制设计——放在哪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【组织】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【组织】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bookmarkEnd w:id="2"/>
    </w:p>
    <w:sectPr>
      <w:footerReference w:type="default" r:id="rId3"/>
      <w:headerReference w:type="default" r:id="rId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4359">
    <w:lvl>
      <w:numFmt w:val="bullet"/>
      <w:suff w:val="tab"/>
      <w:lvlText w:val="•"/>
      <w:rPr>
        <w:color w:val="3370ff"/>
      </w:rPr>
    </w:lvl>
  </w:abstractNum>
  <w:abstractNum w:abstractNumId="24360">
    <w:lvl>
      <w:numFmt w:val="bullet"/>
      <w:suff w:val="tab"/>
      <w:lvlText w:val="•"/>
      <w:rPr>
        <w:color w:val="3370ff"/>
      </w:rPr>
    </w:lvl>
  </w:abstractNum>
  <w:abstractNum w:abstractNumId="24361">
    <w:lvl>
      <w:numFmt w:val="bullet"/>
      <w:suff w:val="tab"/>
      <w:lvlText w:val="•"/>
      <w:rPr>
        <w:color w:val="3370ff"/>
      </w:rPr>
    </w:lvl>
  </w:abstractNum>
  <w:abstractNum w:abstractNumId="24362">
    <w:lvl>
      <w:numFmt w:val="bullet"/>
      <w:suff w:val="tab"/>
      <w:lvlText w:val="•"/>
      <w:rPr>
        <w:color w:val="3370ff"/>
      </w:rPr>
    </w:lvl>
  </w:abstractNum>
  <w:num w:numId="1">
    <w:abstractNumId w:val="24359"/>
  </w:num>
  <w:num w:numId="2">
    <w:abstractNumId w:val="24360"/>
  </w:num>
  <w:num w:numId="3">
    <w:abstractNumId w:val="24361"/>
  </w:num>
  <w:num w:numId="4">
    <w:abstractNumId w:val="2436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numbering.xml" Type="http://schemas.openxmlformats.org/officeDocument/2006/relationships/numbering"/><Relationship Id="rId7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2025-05-13T14:25:23Z</dcterms:created>
  <dc:creator>Apache POI</dc:creator>
</cp:coreProperties>
</file>