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numId w:val="0"/>
        </w:numPr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合同管理中的收款和预付风险管理建议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出现的问题：</w:t>
      </w:r>
      <w:r>
        <w:rPr>
          <w:rFonts w:hint="eastAsia"/>
          <w:lang w:val="en-US" w:eastAsia="zh-CN"/>
        </w:rPr>
        <w:t>大稀地咨询服务中，预付了雨点老师部分酬劳，却没有收回学友企业款。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类似问题</w:t>
      </w:r>
      <w:r>
        <w:rPr>
          <w:rFonts w:hint="eastAsia"/>
          <w:lang w:val="en-US" w:eastAsia="zh-CN"/>
        </w:rPr>
        <w:t>：蒋博咨询服务中，也陆续出现了收不回款的情况。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问题定位：</w:t>
      </w:r>
      <w:r>
        <w:rPr>
          <w:rFonts w:hint="eastAsia"/>
          <w:lang w:val="en-US" w:eastAsia="zh-CN"/>
        </w:rPr>
        <w:t>1.预付风险：存在无法取得对应商品或者服务的风险；</w:t>
      </w:r>
    </w:p>
    <w:p>
      <w:pPr>
        <w:widowControl w:val="0"/>
        <w:numPr>
          <w:ilvl w:val="0"/>
          <w:numId w:val="1"/>
        </w:numPr>
        <w:ind w:left="105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赊销风险：存在无法收回全部服务款的风险。</w:t>
      </w:r>
    </w:p>
    <w:p>
      <w:pPr>
        <w:widowControl w:val="0"/>
        <w:numPr>
          <w:numId w:val="0"/>
        </w:numPr>
        <w:ind w:left="1050"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</w:t>
      </w:r>
      <w:r>
        <w:rPr>
          <w:rFonts w:hint="eastAsia"/>
          <w:lang w:val="en-US" w:eastAsia="zh-CN"/>
        </w:rPr>
        <w:t>1.严格审批有预付及赊销内容条款的合同（启动特别流程）；</w:t>
      </w:r>
    </w:p>
    <w:p>
      <w:pPr>
        <w:widowControl w:val="0"/>
        <w:numPr>
          <w:numId w:val="0"/>
        </w:numPr>
        <w:ind w:firstLine="1050" w:firstLineChars="5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2.是否可以将预付与赊销的风险进行转移。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解决方案1</w:t>
      </w:r>
      <w:r>
        <w:rPr>
          <w:rFonts w:hint="eastAsia"/>
          <w:lang w:val="en-US" w:eastAsia="zh-CN"/>
        </w:rPr>
        <w:t>：增加《合同签订特别流程》：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现流程（普通流程）：发起人拟订合同--提交相应负责人审批--合同盖章申请--刘伟盖章并回寄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特别流程：发起人拟订合同--提交相应负责人审批--</w:t>
      </w:r>
      <w:r>
        <w:rPr>
          <w:rFonts w:hint="eastAsia"/>
          <w:highlight w:val="yellow"/>
          <w:lang w:val="en-US" w:eastAsia="zh-CN"/>
        </w:rPr>
        <w:t>财务组审核</w:t>
      </w:r>
      <w:r>
        <w:rPr>
          <w:rFonts w:hint="eastAsia"/>
          <w:lang w:val="en-US" w:eastAsia="zh-CN"/>
        </w:rPr>
        <w:t>--合同盖章申请--刘伟盖章并回寄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解决方案2</w:t>
      </w:r>
      <w:r>
        <w:rPr>
          <w:rFonts w:hint="eastAsia"/>
          <w:lang w:val="en-US" w:eastAsia="zh-CN"/>
        </w:rPr>
        <w:t>：风险转移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凡有预付条款的，在与老师在合同中约定，若对应的服务款没有收回，该笔预付款需要返还，直至收回对应的服务款时，再支付。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凡有赊销条款的，要与老师在合同中约定，若对应的服务款没有收回，则高维无义务支付老师报酬。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建议</w:t>
      </w:r>
      <w:r>
        <w:rPr>
          <w:rFonts w:hint="eastAsia"/>
          <w:lang w:val="en-US" w:eastAsia="zh-CN"/>
        </w:rPr>
        <w:t>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方案1和方案2同时使用。从内部流程和合同条款约定两方面加强管理。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合同管理中增加法务审核环节，从法律上管理好合同风险。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财务组：陈延琴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2022年5月4日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F2D4FA"/>
    <w:multiLevelType w:val="singleLevel"/>
    <w:tmpl w:val="A5F2D4FA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105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741CDC"/>
    <w:rsid w:val="2F06784A"/>
    <w:rsid w:val="3CDE03DB"/>
    <w:rsid w:val="3FE71217"/>
    <w:rsid w:val="4A451A56"/>
    <w:rsid w:val="6461414A"/>
    <w:rsid w:val="7198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458</Characters>
  <Lines>0</Lines>
  <Paragraphs>0</Paragraphs>
  <TotalTime>17</TotalTime>
  <ScaleCrop>false</ScaleCrop>
  <LinksUpToDate>false</LinksUpToDate>
  <CharactersWithSpaces>574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2022-04-28T08:24:42Z</dcterms:created>
  <dc:creator>CHENYANQIN</dc:creator>
  <cp:lastModifiedBy>CHENYANQIN</cp:lastModifiedBy>
  <dcterms:modified xsi:type="dcterms:W3CDTF">2022-05-05T03:58:31Z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E387B1A785B747D9A3AE4C5E2E75B994</vt:lpwstr>
  </property>
</Properties>
</file>