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right"/>
        <w:rPr>
          <w:b/>
          <w:bCs/>
          <w:sz w:val="36"/>
        </w:rPr>
      </w:pPr>
      <w:r>
        <w:rPr>
          <w:rFonts w:ascii="Arial" w:hAnsi="Arial" w:cs="宋体"/>
          <w:szCs w:val="21"/>
        </w:rPr>
        <w:t>合同编号：GW-202211289-ZS-ZS-ZS-ZS</w:t>
      </w:r>
    </w:p>
    <w:p>
      <w:pPr>
        <w:snapToGrid w:val="0"/>
        <w:spacing w:before="156" w:beforeLines="50" w:after="156" w:afterLines="50" w:line="340" w:lineRule="exact"/>
        <w:jc w:val="center"/>
        <w:rPr>
          <w:b/>
          <w:bCs/>
          <w:sz w:val="36"/>
        </w:rPr>
      </w:pPr>
      <w:r>
        <w:rPr>
          <w:rFonts w:hint="eastAsia"/>
          <w:b/>
          <w:bCs/>
          <w:sz w:val="36"/>
        </w:rPr>
        <w:t>培训协议</w:t>
      </w:r>
    </w:p>
    <w:p>
      <w:pPr>
        <w:spacing w:line="340" w:lineRule="atLeast"/>
        <w:ind w:left="210" w:leftChars="100"/>
        <w:jc w:val="right"/>
        <w:rPr>
          <w:sz w:val="24"/>
        </w:rPr>
      </w:pPr>
    </w:p>
    <w:p>
      <w:pPr>
        <w:spacing w:line="340" w:lineRule="atLeast"/>
        <w:jc w:val="left"/>
        <w:rPr>
          <w:b/>
          <w:szCs w:val="21"/>
        </w:rPr>
      </w:pPr>
      <w:r>
        <w:rPr>
          <w:rFonts w:hint="eastAsia"/>
          <w:szCs w:val="21"/>
        </w:rPr>
        <w:t>甲方 ：</w:t>
      </w:r>
      <w:r>
        <w:rPr>
          <w:b/>
          <w:szCs w:val="21"/>
        </w:rPr>
        <w:t xml:space="preserve"> 无锡英臻科技有限公司</w:t>
      </w:r>
    </w:p>
    <w:p>
      <w:pPr>
        <w:spacing w:line="340" w:lineRule="atLeast"/>
        <w:jc w:val="left"/>
        <w:rPr>
          <w:szCs w:val="21"/>
          <w:lang w:eastAsia="zh-Hans"/>
        </w:rPr>
      </w:pPr>
      <w:r>
        <w:rPr>
          <w:rFonts w:hint="eastAsia"/>
          <w:szCs w:val="21"/>
          <w:lang w:eastAsia="zh-Hans"/>
        </w:rPr>
        <w:t>统一社会信用证代码</w:t>
      </w:r>
      <w:r>
        <w:rPr>
          <w:szCs w:val="21"/>
          <w:lang w:eastAsia="zh-Hans"/>
        </w:rPr>
        <w:t>/</w:t>
      </w:r>
      <w:r>
        <w:rPr>
          <w:rFonts w:hint="eastAsia"/>
          <w:szCs w:val="21"/>
          <w:lang w:eastAsia="zh-Hans"/>
        </w:rPr>
        <w:t>身份证号码</w:t>
      </w:r>
      <w:r>
        <w:rPr>
          <w:szCs w:val="21"/>
          <w:lang w:eastAsia="zh-Hans"/>
        </w:rPr>
        <w:t>：</w:t>
      </w:r>
      <w:r>
        <w:rPr>
          <w:rFonts w:ascii="宋体" w:hAnsi="宋体" w:eastAsia="宋体" w:cs="宋体"/>
          <w:sz w:val="24"/>
          <w:szCs w:val="24"/>
        </w:rPr>
        <w:t>91320214693333296Q</w:t>
      </w:r>
    </w:p>
    <w:p>
      <w:pPr>
        <w:spacing w:line="340" w:lineRule="atLeast"/>
        <w:jc w:val="left"/>
        <w:rPr>
          <w:rFonts w:hint="eastAsia" w:eastAsia="宋体"/>
          <w:szCs w:val="21"/>
          <w:lang w:val="en-US" w:eastAsia="zh-CN"/>
        </w:rPr>
      </w:pPr>
      <w:r>
        <w:rPr>
          <w:rFonts w:hint="eastAsia"/>
          <w:szCs w:val="21"/>
          <w:lang w:eastAsia="zh-Hans"/>
        </w:rPr>
        <w:t>联系人</w:t>
      </w:r>
      <w:r>
        <w:rPr>
          <w:szCs w:val="21"/>
          <w:lang w:eastAsia="zh-Hans"/>
        </w:rPr>
        <w:t>：</w:t>
      </w:r>
      <w:r>
        <w:rPr>
          <w:rFonts w:hint="eastAsia"/>
          <w:szCs w:val="21"/>
          <w:lang w:val="en-US" w:eastAsia="zh-CN"/>
        </w:rPr>
        <w:t>朱佳玉</w:t>
      </w:r>
    </w:p>
    <w:p>
      <w:pPr>
        <w:spacing w:line="340" w:lineRule="atLeast"/>
        <w:jc w:val="left"/>
        <w:rPr>
          <w:rFonts w:hint="default" w:eastAsia="宋体"/>
          <w:szCs w:val="21"/>
          <w:lang w:val="en-US" w:eastAsia="zh-CN"/>
        </w:rPr>
      </w:pPr>
      <w:r>
        <w:rPr>
          <w:rFonts w:hint="eastAsia"/>
          <w:szCs w:val="21"/>
          <w:lang w:eastAsia="zh-Hans"/>
        </w:rPr>
        <w:t>联系电话</w:t>
      </w:r>
      <w:r>
        <w:rPr>
          <w:szCs w:val="21"/>
          <w:lang w:eastAsia="zh-Hans"/>
        </w:rPr>
        <w:t>：</w:t>
      </w:r>
      <w:r>
        <w:rPr>
          <w:rFonts w:hint="eastAsia"/>
          <w:szCs w:val="21"/>
          <w:lang w:val="en-US" w:eastAsia="zh-CN"/>
        </w:rPr>
        <w:t>15252716385</w:t>
      </w:r>
    </w:p>
    <w:p>
      <w:pPr>
        <w:spacing w:line="340" w:lineRule="atLeast"/>
        <w:jc w:val="left"/>
        <w:rPr>
          <w:szCs w:val="21"/>
          <w:lang w:eastAsia="zh-Hans"/>
        </w:rPr>
      </w:pPr>
      <w:r>
        <w:rPr>
          <w:rFonts w:hint="eastAsia"/>
          <w:szCs w:val="21"/>
          <w:lang w:eastAsia="zh-Hans"/>
        </w:rPr>
        <w:t>电子邮箱</w:t>
      </w:r>
      <w:r>
        <w:rPr>
          <w:szCs w:val="21"/>
          <w:lang w:eastAsia="zh-Hans"/>
        </w:rPr>
        <w:t>：</w:t>
      </w:r>
      <w:r>
        <w:rPr>
          <w:rFonts w:hint="eastAsia"/>
          <w:szCs w:val="21"/>
          <w:lang w:eastAsia="zh-Hans"/>
        </w:rPr>
        <w:t>jiayu.zhu&lt;jiayu.zhu@igen-tech.com&gt;</w:t>
      </w:r>
    </w:p>
    <w:p>
      <w:pPr>
        <w:spacing w:line="340" w:lineRule="atLeast"/>
        <w:jc w:val="left"/>
        <w:rPr>
          <w:b/>
          <w:szCs w:val="21"/>
        </w:rPr>
      </w:pPr>
      <w:r>
        <w:rPr>
          <w:rFonts w:hint="eastAsia"/>
          <w:szCs w:val="21"/>
          <w:lang w:eastAsia="zh-Hans"/>
        </w:rPr>
        <w:t>地址</w:t>
      </w:r>
      <w:r>
        <w:rPr>
          <w:szCs w:val="21"/>
          <w:lang w:eastAsia="zh-Hans"/>
        </w:rPr>
        <w:t>：</w:t>
      </w:r>
      <w:r>
        <w:rPr>
          <w:rFonts w:hint="eastAsia"/>
          <w:b/>
          <w:szCs w:val="21"/>
        </w:rPr>
        <w:t xml:space="preserve"> </w:t>
      </w:r>
      <w:r>
        <w:rPr>
          <w:rFonts w:ascii="宋体" w:hAnsi="宋体" w:eastAsia="宋体" w:cs="宋体"/>
          <w:sz w:val="24"/>
          <w:szCs w:val="24"/>
        </w:rPr>
        <w:t>无锡市新吴区</w:t>
      </w:r>
      <w:r>
        <w:rPr>
          <w:rFonts w:hint="eastAsia" w:ascii="宋体" w:hAnsi="宋体" w:cs="宋体"/>
          <w:sz w:val="24"/>
          <w:szCs w:val="24"/>
          <w:lang w:val="en-US" w:eastAsia="zh-CN"/>
        </w:rPr>
        <w:t>景贤路6号中国物联网国际创新园H4</w:t>
      </w:r>
    </w:p>
    <w:p>
      <w:pPr>
        <w:spacing w:line="340" w:lineRule="atLeast"/>
        <w:jc w:val="left"/>
        <w:rPr>
          <w:b/>
          <w:szCs w:val="21"/>
        </w:rPr>
      </w:pPr>
    </w:p>
    <w:p>
      <w:pPr>
        <w:spacing w:line="340" w:lineRule="atLeast"/>
        <w:rPr>
          <w:b/>
          <w:szCs w:val="21"/>
        </w:rPr>
      </w:pPr>
      <w:r>
        <w:rPr>
          <w:rFonts w:hint="eastAsia"/>
          <w:szCs w:val="21"/>
        </w:rPr>
        <w:t>乙方 ：</w:t>
      </w:r>
      <w:r>
        <w:rPr>
          <w:rFonts w:hint="eastAsia"/>
          <w:b/>
          <w:szCs w:val="21"/>
        </w:rPr>
        <w:t>高维信息技术（深圳）有限公司</w:t>
      </w:r>
    </w:p>
    <w:p>
      <w:pPr>
        <w:spacing w:line="340" w:lineRule="atLeast"/>
        <w:jc w:val="left"/>
        <w:rPr>
          <w:szCs w:val="21"/>
          <w:lang w:eastAsia="zh-Hans"/>
        </w:rPr>
      </w:pPr>
      <w:r>
        <w:rPr>
          <w:rFonts w:hint="eastAsia"/>
          <w:szCs w:val="21"/>
          <w:lang w:eastAsia="zh-Hans"/>
        </w:rPr>
        <w:t>联系人</w:t>
      </w:r>
      <w:r>
        <w:rPr>
          <w:szCs w:val="21"/>
          <w:lang w:eastAsia="zh-Hans"/>
        </w:rPr>
        <w:t>：任杰欣</w:t>
      </w:r>
      <w:bookmarkStart w:id="0" w:name="_GoBack"/>
      <w:bookmarkEnd w:id="0"/>
    </w:p>
    <w:p>
      <w:pPr>
        <w:spacing w:line="340" w:lineRule="atLeast"/>
        <w:jc w:val="left"/>
        <w:rPr>
          <w:szCs w:val="21"/>
          <w:lang w:eastAsia="zh-Hans"/>
        </w:rPr>
      </w:pPr>
      <w:r>
        <w:rPr>
          <w:rFonts w:hint="eastAsia"/>
          <w:szCs w:val="21"/>
          <w:lang w:eastAsia="zh-Hans"/>
        </w:rPr>
        <w:t>联系电话</w:t>
      </w:r>
      <w:r>
        <w:rPr>
          <w:szCs w:val="21"/>
          <w:lang w:eastAsia="zh-Hans"/>
        </w:rPr>
        <w:t>：15018744987</w:t>
      </w:r>
    </w:p>
    <w:p>
      <w:pPr>
        <w:spacing w:line="340" w:lineRule="atLeast"/>
        <w:rPr>
          <w:szCs w:val="21"/>
        </w:rPr>
      </w:pPr>
      <w:r>
        <w:rPr>
          <w:rFonts w:hint="eastAsia"/>
          <w:szCs w:val="21"/>
          <w:lang w:eastAsia="zh-Hans"/>
        </w:rPr>
        <w:t>电子邮箱</w:t>
      </w:r>
      <w:r>
        <w:rPr>
          <w:szCs w:val="21"/>
          <w:lang w:eastAsia="zh-Hans"/>
        </w:rPr>
        <w:t>：jx@gaowei.com</w:t>
      </w:r>
      <w:r>
        <w:rPr>
          <w:rFonts w:hint="eastAsia"/>
          <w:szCs w:val="21"/>
        </w:rPr>
        <w:t xml:space="preserve"> </w:t>
      </w:r>
    </w:p>
    <w:p>
      <w:pPr>
        <w:spacing w:line="340" w:lineRule="atLeast"/>
        <w:rPr>
          <w:rFonts w:ascii="Arial" w:hAnsi="Arial" w:cs="宋体"/>
          <w:szCs w:val="21"/>
        </w:rPr>
      </w:pPr>
      <w:r>
        <w:rPr>
          <w:rFonts w:hint="eastAsia"/>
          <w:szCs w:val="21"/>
          <w:lang w:eastAsia="zh-Hans"/>
        </w:rPr>
        <w:t>地址</w:t>
      </w:r>
      <w:r>
        <w:rPr>
          <w:szCs w:val="21"/>
          <w:lang w:eastAsia="zh-Hans"/>
        </w:rPr>
        <w:t>：</w:t>
      </w:r>
      <w:r>
        <w:rPr>
          <w:rFonts w:hint="eastAsia"/>
          <w:szCs w:val="21"/>
          <w:lang w:eastAsia="zh-Hans"/>
        </w:rPr>
        <w:t>深圳市罗湖区桂园街道鹿丹村社区滨河路1011号鹿丹大厦701F</w:t>
      </w:r>
    </w:p>
    <w:p>
      <w:pPr>
        <w:spacing w:line="340" w:lineRule="atLeast"/>
        <w:rPr>
          <w:rFonts w:ascii="Arial" w:hAnsi="Arial" w:cs="宋体"/>
          <w:szCs w:val="21"/>
        </w:rPr>
      </w:pPr>
    </w:p>
    <w:p>
      <w:pPr>
        <w:snapToGrid w:val="0"/>
        <w:spacing w:line="340" w:lineRule="atLeast"/>
        <w:ind w:firstLine="359" w:firstLineChars="171"/>
        <w:rPr>
          <w:szCs w:val="21"/>
        </w:rPr>
      </w:pPr>
      <w:r>
        <w:rPr>
          <w:rFonts w:hint="eastAsia"/>
          <w:szCs w:val="21"/>
        </w:rPr>
        <w:t>甲乙双方本着平等自愿、互惠互利的原则，</w:t>
      </w:r>
      <w:r>
        <w:rPr>
          <w:rFonts w:hint="eastAsia"/>
          <w:szCs w:val="21"/>
          <w:lang w:eastAsia="zh-Hans"/>
        </w:rPr>
        <w:t>根据</w:t>
      </w:r>
      <w:r>
        <w:rPr>
          <w:szCs w:val="21"/>
          <w:lang w:eastAsia="zh-Hans"/>
        </w:rPr>
        <w:t>《</w:t>
      </w:r>
      <w:r>
        <w:rPr>
          <w:rFonts w:hint="eastAsia"/>
          <w:szCs w:val="21"/>
          <w:lang w:eastAsia="zh-Hans"/>
        </w:rPr>
        <w:t>中华人民共和国民法典</w:t>
      </w:r>
      <w:r>
        <w:rPr>
          <w:szCs w:val="21"/>
          <w:lang w:eastAsia="zh-Hans"/>
        </w:rPr>
        <w:t>》，</w:t>
      </w:r>
      <w:r>
        <w:rPr>
          <w:rFonts w:hint="eastAsia"/>
          <w:szCs w:val="21"/>
        </w:rPr>
        <w:t>经友好协商，就乙方为甲方提供企业管理培训咨询一事，达成如下协议：</w:t>
      </w:r>
    </w:p>
    <w:p>
      <w:pPr>
        <w:numPr>
          <w:ilvl w:val="0"/>
          <w:numId w:val="4"/>
        </w:numPr>
        <w:tabs>
          <w:tab w:val="left" w:pos="360"/>
          <w:tab w:val="clear" w:pos="600"/>
        </w:tabs>
        <w:snapToGrid w:val="0"/>
        <w:spacing w:before="156" w:beforeLines="50" w:line="400" w:lineRule="exact"/>
        <w:ind w:left="482" w:hanging="482"/>
        <w:rPr>
          <w:szCs w:val="21"/>
        </w:rPr>
      </w:pPr>
      <w:r>
        <w:rPr>
          <w:rFonts w:hint="eastAsia"/>
          <w:szCs w:val="21"/>
        </w:rPr>
        <w:t>培训项目</w:t>
      </w:r>
    </w:p>
    <w:tbl>
      <w:tblPr>
        <w:tblStyle w:val="18"/>
        <w:tblW w:w="103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9"/>
        <w:gridCol w:w="991"/>
        <w:gridCol w:w="709"/>
        <w:gridCol w:w="1932"/>
        <w:gridCol w:w="1043"/>
        <w:gridCol w:w="1416"/>
        <w:gridCol w:w="1275"/>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1329" w:type="dxa"/>
            <w:tcBorders>
              <w:top w:val="single" w:color="auto" w:sz="4" w:space="0"/>
              <w:left w:val="single" w:color="auto" w:sz="4" w:space="0"/>
              <w:bottom w:val="single" w:color="auto" w:sz="4" w:space="0"/>
              <w:right w:val="single" w:color="auto" w:sz="4" w:space="0"/>
            </w:tcBorders>
            <w:vAlign w:val="center"/>
          </w:tcPr>
          <w:p>
            <w:pPr>
              <w:snapToGrid w:val="0"/>
              <w:ind w:left="-51" w:right="-51"/>
              <w:jc w:val="center"/>
              <w:rPr>
                <w:b/>
                <w:szCs w:val="21"/>
              </w:rPr>
            </w:pPr>
            <w:r>
              <w:rPr>
                <w:rFonts w:hint="eastAsia"/>
                <w:b/>
                <w:szCs w:val="21"/>
              </w:rPr>
              <w:t>课程名称</w:t>
            </w:r>
          </w:p>
        </w:tc>
        <w:tc>
          <w:tcPr>
            <w:tcW w:w="991" w:type="dxa"/>
            <w:tcBorders>
              <w:top w:val="single" w:color="auto" w:sz="4" w:space="0"/>
              <w:left w:val="single" w:color="auto" w:sz="4" w:space="0"/>
              <w:bottom w:val="single" w:color="auto" w:sz="4" w:space="0"/>
              <w:right w:val="single" w:color="auto" w:sz="4" w:space="0"/>
            </w:tcBorders>
            <w:vAlign w:val="center"/>
          </w:tcPr>
          <w:p>
            <w:pPr>
              <w:snapToGrid w:val="0"/>
              <w:ind w:right="-51"/>
              <w:jc w:val="center"/>
              <w:rPr>
                <w:b/>
                <w:szCs w:val="21"/>
              </w:rPr>
            </w:pPr>
            <w:r>
              <w:rPr>
                <w:rFonts w:hint="eastAsia"/>
                <w:b/>
                <w:szCs w:val="21"/>
              </w:rPr>
              <w:t>讲</w:t>
            </w:r>
            <w:r>
              <w:rPr>
                <w:b/>
                <w:szCs w:val="21"/>
              </w:rPr>
              <w:t xml:space="preserve"> </w:t>
            </w:r>
            <w:r>
              <w:rPr>
                <w:rFonts w:hint="eastAsia"/>
                <w:b/>
                <w:szCs w:val="21"/>
              </w:rPr>
              <w:t>师</w:t>
            </w:r>
          </w:p>
        </w:tc>
        <w:tc>
          <w:tcPr>
            <w:tcW w:w="709" w:type="dxa"/>
            <w:tcBorders>
              <w:top w:val="single" w:color="auto" w:sz="4" w:space="0"/>
              <w:left w:val="single" w:color="auto" w:sz="4" w:space="0"/>
              <w:bottom w:val="single" w:color="auto" w:sz="4" w:space="0"/>
              <w:right w:val="single" w:color="auto" w:sz="4" w:space="0"/>
            </w:tcBorders>
            <w:vAlign w:val="center"/>
          </w:tcPr>
          <w:p>
            <w:pPr>
              <w:snapToGrid w:val="0"/>
              <w:ind w:right="-51"/>
              <w:jc w:val="center"/>
              <w:rPr>
                <w:b/>
                <w:szCs w:val="21"/>
              </w:rPr>
            </w:pPr>
            <w:r>
              <w:rPr>
                <w:rFonts w:hint="eastAsia"/>
                <w:b/>
                <w:szCs w:val="21"/>
              </w:rPr>
              <w:t>参训</w:t>
            </w:r>
          </w:p>
          <w:p>
            <w:pPr>
              <w:snapToGrid w:val="0"/>
              <w:ind w:right="-51"/>
              <w:jc w:val="center"/>
              <w:rPr>
                <w:b/>
                <w:szCs w:val="21"/>
              </w:rPr>
            </w:pPr>
            <w:r>
              <w:rPr>
                <w:rFonts w:hint="eastAsia"/>
                <w:b/>
                <w:szCs w:val="21"/>
              </w:rPr>
              <w:t>人数</w:t>
            </w:r>
          </w:p>
        </w:tc>
        <w:tc>
          <w:tcPr>
            <w:tcW w:w="1932" w:type="dxa"/>
            <w:tcBorders>
              <w:top w:val="single" w:color="auto" w:sz="4" w:space="0"/>
              <w:left w:val="single" w:color="auto" w:sz="4" w:space="0"/>
              <w:bottom w:val="single" w:color="auto" w:sz="4" w:space="0"/>
              <w:right w:val="single" w:color="auto" w:sz="4" w:space="0"/>
            </w:tcBorders>
            <w:vAlign w:val="center"/>
          </w:tcPr>
          <w:p>
            <w:pPr>
              <w:snapToGrid w:val="0"/>
              <w:ind w:left="-51" w:right="-51"/>
              <w:jc w:val="center"/>
              <w:rPr>
                <w:b/>
                <w:szCs w:val="21"/>
              </w:rPr>
            </w:pPr>
            <w:r>
              <w:rPr>
                <w:rFonts w:hint="eastAsia"/>
                <w:b/>
                <w:szCs w:val="21"/>
              </w:rPr>
              <w:t>日期</w:t>
            </w:r>
          </w:p>
        </w:tc>
        <w:tc>
          <w:tcPr>
            <w:tcW w:w="1043" w:type="dxa"/>
            <w:tcBorders>
              <w:top w:val="single" w:color="auto" w:sz="4" w:space="0"/>
              <w:left w:val="single" w:color="auto" w:sz="4" w:space="0"/>
              <w:bottom w:val="single" w:color="auto" w:sz="4" w:space="0"/>
              <w:right w:val="single" w:color="auto" w:sz="4" w:space="0"/>
            </w:tcBorders>
            <w:vAlign w:val="center"/>
          </w:tcPr>
          <w:p>
            <w:pPr>
              <w:snapToGrid w:val="0"/>
              <w:ind w:left="-51" w:right="-51"/>
              <w:jc w:val="center"/>
              <w:rPr>
                <w:b/>
                <w:szCs w:val="21"/>
              </w:rPr>
            </w:pPr>
            <w:r>
              <w:rPr>
                <w:rFonts w:hint="eastAsia"/>
                <w:b/>
                <w:szCs w:val="21"/>
              </w:rPr>
              <w:t>培训地点</w:t>
            </w:r>
          </w:p>
        </w:tc>
        <w:tc>
          <w:tcPr>
            <w:tcW w:w="1416" w:type="dxa"/>
            <w:tcBorders>
              <w:top w:val="single" w:color="auto" w:sz="4" w:space="0"/>
              <w:left w:val="single" w:color="auto" w:sz="4" w:space="0"/>
              <w:bottom w:val="single" w:color="auto" w:sz="4" w:space="0"/>
              <w:right w:val="single" w:color="auto" w:sz="4" w:space="0"/>
            </w:tcBorders>
            <w:vAlign w:val="center"/>
          </w:tcPr>
          <w:p>
            <w:pPr>
              <w:snapToGrid w:val="0"/>
              <w:ind w:right="-51"/>
              <w:jc w:val="center"/>
              <w:rPr>
                <w:b/>
                <w:szCs w:val="21"/>
              </w:rPr>
            </w:pPr>
            <w:r>
              <w:rPr>
                <w:rFonts w:hint="eastAsia"/>
                <w:b/>
                <w:szCs w:val="21"/>
              </w:rPr>
              <w:t>费用</w:t>
            </w:r>
          </w:p>
        </w:tc>
        <w:tc>
          <w:tcPr>
            <w:tcW w:w="1275" w:type="dxa"/>
            <w:tcBorders>
              <w:top w:val="single" w:color="auto" w:sz="4" w:space="0"/>
              <w:left w:val="single" w:color="auto" w:sz="4" w:space="0"/>
              <w:bottom w:val="single" w:color="auto" w:sz="4" w:space="0"/>
              <w:right w:val="single" w:color="auto" w:sz="4" w:space="0"/>
            </w:tcBorders>
            <w:vAlign w:val="center"/>
          </w:tcPr>
          <w:p>
            <w:pPr>
              <w:snapToGrid w:val="0"/>
              <w:ind w:left="-51" w:right="-51"/>
              <w:jc w:val="center"/>
              <w:rPr>
                <w:b/>
                <w:szCs w:val="21"/>
              </w:rPr>
            </w:pPr>
            <w:r>
              <w:rPr>
                <w:rFonts w:hint="eastAsia"/>
                <w:b/>
                <w:szCs w:val="21"/>
              </w:rPr>
              <w:t>总费用（含税）</w:t>
            </w:r>
          </w:p>
          <w:p>
            <w:pPr>
              <w:snapToGrid w:val="0"/>
              <w:ind w:left="-51" w:right="-51"/>
              <w:jc w:val="center"/>
              <w:rPr>
                <w:b/>
                <w:szCs w:val="21"/>
              </w:rPr>
            </w:pPr>
            <w:r>
              <w:rPr>
                <w:b/>
                <w:szCs w:val="21"/>
              </w:rPr>
              <w:t>RMB</w:t>
            </w:r>
            <w:r>
              <w:rPr>
                <w:rFonts w:hint="eastAsia"/>
                <w:b/>
                <w:szCs w:val="21"/>
              </w:rPr>
              <w:t>元</w:t>
            </w:r>
          </w:p>
        </w:tc>
        <w:tc>
          <w:tcPr>
            <w:tcW w:w="1700" w:type="dxa"/>
            <w:tcBorders>
              <w:top w:val="single" w:color="auto" w:sz="4" w:space="0"/>
              <w:left w:val="single" w:color="auto" w:sz="4" w:space="0"/>
              <w:bottom w:val="single" w:color="auto" w:sz="4" w:space="0"/>
              <w:right w:val="single" w:color="auto" w:sz="4" w:space="0"/>
            </w:tcBorders>
            <w:vAlign w:val="center"/>
          </w:tcPr>
          <w:p>
            <w:pPr>
              <w:snapToGrid w:val="0"/>
              <w:ind w:left="-51" w:right="-51"/>
              <w:jc w:val="center"/>
              <w:rPr>
                <w:b/>
                <w:szCs w:val="21"/>
              </w:rPr>
            </w:pPr>
            <w:r>
              <w:rPr>
                <w:rFonts w:hint="eastAsia"/>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1329"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left="-51" w:right="-51"/>
              <w:jc w:val="center"/>
              <w:rPr>
                <w:szCs w:val="21"/>
              </w:rPr>
            </w:pPr>
            <w:r>
              <w:rPr>
                <w:rFonts w:ascii="Arial" w:hAnsi="Arial" w:cs="宋体"/>
                <w:szCs w:val="21"/>
              </w:rPr>
              <w:t>红杉B2B销售增长双飞轮</w:t>
            </w:r>
          </w:p>
        </w:tc>
        <w:tc>
          <w:tcPr>
            <w:tcW w:w="991"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left="-51" w:right="-51"/>
              <w:jc w:val="center"/>
              <w:rPr>
                <w:szCs w:val="21"/>
              </w:rPr>
            </w:pPr>
            <w:r>
              <w:rPr>
                <w:rFonts w:ascii="Arial" w:hAnsi="Arial" w:cs="Arial"/>
                <w:szCs w:val="21"/>
              </w:rPr>
              <w:t>崔建中、 卞志汉</w:t>
            </w:r>
          </w:p>
        </w:tc>
        <w:tc>
          <w:tcPr>
            <w:tcW w:w="709"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jc w:val="center"/>
              <w:rPr>
                <w:rFonts w:hint="eastAsia" w:eastAsia="宋体"/>
                <w:szCs w:val="21"/>
                <w:lang w:eastAsia="zh-CN"/>
              </w:rPr>
            </w:pPr>
            <w:r>
              <w:rPr>
                <w:rFonts w:hint="eastAsia"/>
                <w:szCs w:val="21"/>
                <w:lang w:val="en-US" w:eastAsia="zh-CN"/>
              </w:rPr>
              <w:t>3</w:t>
            </w:r>
          </w:p>
        </w:tc>
        <w:tc>
          <w:tcPr>
            <w:tcW w:w="1932"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rPr>
                <w:szCs w:val="21"/>
              </w:rPr>
            </w:pPr>
            <w:r>
              <w:rPr>
                <w:rFonts w:ascii="Arial" w:hAnsi="Arial" w:cs="宋体"/>
                <w:szCs w:val="21"/>
              </w:rPr>
              <w:t>2023年11月10-11日</w:t>
            </w:r>
          </w:p>
        </w:tc>
        <w:tc>
          <w:tcPr>
            <w:tcW w:w="1043"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rPr>
                <w:szCs w:val="21"/>
              </w:rPr>
            </w:pPr>
            <w:r>
              <w:rPr>
                <w:rFonts w:ascii="Arial" w:hAnsi="Arial" w:cs="宋体"/>
                <w:szCs w:val="21"/>
              </w:rPr>
              <w:t>上海</w:t>
            </w:r>
          </w:p>
        </w:tc>
        <w:tc>
          <w:tcPr>
            <w:tcW w:w="1416"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rPr>
                <w:rFonts w:hint="eastAsia" w:eastAsia="宋体"/>
                <w:szCs w:val="21"/>
                <w:lang w:val="en-US" w:eastAsia="zh-CN"/>
              </w:rPr>
            </w:pPr>
            <w:r>
              <w:rPr>
                <w:rFonts w:ascii="Arial" w:hAnsi="Arial" w:cs="宋体"/>
                <w:szCs w:val="21"/>
              </w:rPr>
              <w:t>9800.0</w:t>
            </w:r>
            <w:r>
              <w:rPr>
                <w:rFonts w:hint="eastAsia"/>
                <w:szCs w:val="21"/>
              </w:rPr>
              <w:t>元</w:t>
            </w:r>
            <w:r>
              <w:rPr>
                <w:szCs w:val="21"/>
              </w:rPr>
              <w:t>/</w:t>
            </w:r>
            <w:r>
              <w:rPr>
                <w:rFonts w:hint="eastAsia"/>
                <w:szCs w:val="21"/>
                <w:lang w:val="en-US" w:eastAsia="zh-CN"/>
              </w:rPr>
              <w:t>企业</w:t>
            </w:r>
          </w:p>
        </w:tc>
        <w:tc>
          <w:tcPr>
            <w:tcW w:w="1275"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rPr>
                <w:szCs w:val="21"/>
              </w:rPr>
            </w:pPr>
            <w:r>
              <w:rPr>
                <w:rFonts w:ascii="Arial" w:hAnsi="Arial" w:cs="Arial"/>
                <w:color w:val="000000"/>
                <w:szCs w:val="21"/>
              </w:rPr>
              <w:t>9800.0</w:t>
            </w:r>
            <w:r>
              <w:rPr>
                <w:rFonts w:hint="eastAsia"/>
                <w:szCs w:val="21"/>
              </w:rPr>
              <w:t>元</w:t>
            </w:r>
          </w:p>
        </w:tc>
        <w:tc>
          <w:tcPr>
            <w:tcW w:w="1700" w:type="dxa"/>
            <w:tcBorders>
              <w:top w:val="single" w:color="auto" w:sz="4" w:space="0"/>
              <w:left w:val="single" w:color="auto" w:sz="4" w:space="0"/>
              <w:bottom w:val="single" w:color="auto" w:sz="4" w:space="0"/>
              <w:right w:val="single" w:color="auto" w:sz="4" w:space="0"/>
            </w:tcBorders>
            <w:vAlign w:val="center"/>
          </w:tcPr>
          <w:p>
            <w:pPr>
              <w:snapToGrid w:val="0"/>
              <w:spacing w:before="50" w:line="400" w:lineRule="exact"/>
              <w:ind w:right="-51"/>
              <w:rPr>
                <w:szCs w:val="21"/>
              </w:rPr>
            </w:pPr>
          </w:p>
        </w:tc>
      </w:tr>
    </w:tbl>
    <w:p>
      <w:pPr>
        <w:tabs>
          <w:tab w:val="left" w:pos="1080"/>
        </w:tabs>
        <w:snapToGrid w:val="0"/>
        <w:spacing w:line="320" w:lineRule="exact"/>
        <w:ind w:right="130" w:rightChars="62"/>
        <w:rPr>
          <w:szCs w:val="21"/>
        </w:rPr>
      </w:pPr>
      <w:r>
        <w:rPr>
          <w:rFonts w:hint="eastAsia"/>
          <w:szCs w:val="21"/>
        </w:rPr>
        <w:t>备注：本报价包括：</w:t>
      </w:r>
      <w:r>
        <w:rPr>
          <w:rFonts w:hint="eastAsia" w:ascii="宋体" w:hAnsi="宋体"/>
          <w:bCs/>
          <w:szCs w:val="21"/>
        </w:rPr>
        <w:t>含讲义、听课费、</w:t>
      </w:r>
      <w:r>
        <w:rPr>
          <w:rFonts w:hint="eastAsia" w:ascii="宋体" w:hAnsi="宋体"/>
          <w:bCs/>
          <w:kern w:val="0"/>
          <w:szCs w:val="21"/>
        </w:rPr>
        <w:t>茶点、餐费、税金等。</w:t>
      </w:r>
    </w:p>
    <w:p>
      <w:pPr>
        <w:numPr>
          <w:ilvl w:val="0"/>
          <w:numId w:val="4"/>
        </w:numPr>
        <w:snapToGrid w:val="0"/>
        <w:spacing w:line="320" w:lineRule="exact"/>
        <w:ind w:left="482" w:hanging="482"/>
        <w:rPr>
          <w:szCs w:val="21"/>
        </w:rPr>
      </w:pPr>
      <w:r>
        <w:rPr>
          <w:rFonts w:hint="eastAsia"/>
          <w:szCs w:val="21"/>
        </w:rPr>
        <w:t>培训项目内容</w:t>
      </w:r>
    </w:p>
    <w:p>
      <w:pPr>
        <w:snapToGrid w:val="0"/>
        <w:spacing w:line="320" w:lineRule="exact"/>
        <w:ind w:firstLine="315" w:firstLineChars="150"/>
        <w:rPr>
          <w:szCs w:val="21"/>
        </w:rPr>
      </w:pPr>
      <w:r>
        <w:rPr>
          <w:rFonts w:hint="eastAsia"/>
          <w:szCs w:val="21"/>
        </w:rPr>
        <w:t>1.   要求乙方根据甲方要求，就以上服务项目对甲方相关人员进行培训；</w:t>
      </w:r>
    </w:p>
    <w:p>
      <w:pPr>
        <w:snapToGrid w:val="0"/>
        <w:spacing w:line="320" w:lineRule="exact"/>
        <w:ind w:firstLine="315" w:firstLineChars="150"/>
        <w:rPr>
          <w:szCs w:val="21"/>
        </w:rPr>
      </w:pPr>
      <w:r>
        <w:rPr>
          <w:rFonts w:hint="eastAsia"/>
          <w:szCs w:val="21"/>
        </w:rPr>
        <w:t>2.   乙方按双方约定的内容展开培训。</w:t>
      </w:r>
    </w:p>
    <w:p>
      <w:pPr>
        <w:numPr>
          <w:ilvl w:val="0"/>
          <w:numId w:val="4"/>
        </w:numPr>
        <w:snapToGrid w:val="0"/>
        <w:spacing w:line="320" w:lineRule="exact"/>
        <w:ind w:left="482" w:hanging="482"/>
        <w:rPr>
          <w:szCs w:val="21"/>
        </w:rPr>
      </w:pPr>
      <w:r>
        <w:rPr>
          <w:rFonts w:hint="eastAsia"/>
          <w:szCs w:val="21"/>
        </w:rPr>
        <w:t>履行期限</w:t>
      </w:r>
    </w:p>
    <w:p>
      <w:pPr>
        <w:pStyle w:val="29"/>
        <w:tabs>
          <w:tab w:val="left" w:pos="0"/>
          <w:tab w:val="clear" w:pos="840"/>
        </w:tabs>
        <w:spacing w:line="320" w:lineRule="exact"/>
        <w:ind w:left="360" w:firstLine="0"/>
        <w:rPr>
          <w:szCs w:val="21"/>
        </w:rPr>
      </w:pPr>
      <w:r>
        <w:rPr>
          <w:rFonts w:hint="eastAsia"/>
          <w:szCs w:val="21"/>
        </w:rPr>
        <w:t>甲方在乙方指定地点接受培训；乙</w:t>
      </w:r>
      <w:r>
        <w:rPr>
          <w:rFonts w:hint="eastAsia"/>
          <w:szCs w:val="21"/>
          <w:lang w:eastAsia="zh-Hans"/>
        </w:rPr>
        <w:t>方指定地点</w:t>
      </w:r>
      <w:r>
        <w:rPr>
          <w:szCs w:val="21"/>
          <w:lang w:eastAsia="zh-Hans"/>
        </w:rPr>
        <w:t>：【上海】</w:t>
      </w:r>
    </w:p>
    <w:p>
      <w:pPr>
        <w:pStyle w:val="29"/>
        <w:numPr>
          <w:ilvl w:val="0"/>
          <w:numId w:val="0"/>
        </w:numPr>
        <w:tabs>
          <w:tab w:val="left" w:pos="0"/>
        </w:tabs>
        <w:spacing w:line="320" w:lineRule="exact"/>
        <w:ind w:left="-60" w:firstLine="420" w:firstLineChars="200"/>
        <w:rPr>
          <w:szCs w:val="21"/>
        </w:rPr>
      </w:pPr>
      <w:r>
        <w:rPr>
          <w:rFonts w:hint="eastAsia"/>
        </w:rPr>
        <w:t xml:space="preserve">2.   </w:t>
      </w:r>
      <w:r>
        <w:rPr>
          <w:rFonts w:hint="eastAsia"/>
          <w:szCs w:val="21"/>
        </w:rPr>
        <w:t>本合同于</w:t>
      </w:r>
      <w:r>
        <w:rPr>
          <w:szCs w:val="21"/>
        </w:rPr>
        <w:t xml:space="preserve">2023年11月10-11日 </w:t>
      </w:r>
      <w:r>
        <w:rPr>
          <w:rFonts w:hint="eastAsia"/>
          <w:szCs w:val="21"/>
        </w:rPr>
        <w:t>（9:00-12:00，14:00-17:00）实施，培训时间为共</w:t>
      </w:r>
      <w:r>
        <w:rPr>
          <w:szCs w:val="21"/>
        </w:rPr>
        <w:t>12</w:t>
      </w:r>
      <w:r>
        <w:rPr>
          <w:rFonts w:hint="eastAsia"/>
          <w:szCs w:val="21"/>
        </w:rPr>
        <w:t>个小时。</w:t>
      </w:r>
    </w:p>
    <w:p>
      <w:pPr>
        <w:numPr>
          <w:ilvl w:val="0"/>
          <w:numId w:val="4"/>
        </w:numPr>
        <w:snapToGrid w:val="0"/>
        <w:spacing w:line="320" w:lineRule="exact"/>
        <w:ind w:left="482" w:hanging="482"/>
        <w:rPr>
          <w:szCs w:val="21"/>
        </w:rPr>
      </w:pPr>
      <w:r>
        <w:rPr>
          <w:rFonts w:hint="eastAsia"/>
          <w:szCs w:val="21"/>
        </w:rPr>
        <w:t>乙方职责</w:t>
      </w:r>
    </w:p>
    <w:p>
      <w:pPr>
        <w:pStyle w:val="29"/>
        <w:numPr>
          <w:ilvl w:val="0"/>
          <w:numId w:val="5"/>
        </w:numPr>
        <w:spacing w:line="320" w:lineRule="exact"/>
        <w:ind w:hanging="480"/>
      </w:pPr>
      <w:r>
        <w:rPr>
          <w:rFonts w:hint="eastAsia"/>
        </w:rPr>
        <w:t>对本次培训进行教案准备。</w:t>
      </w:r>
    </w:p>
    <w:p>
      <w:pPr>
        <w:numPr>
          <w:ilvl w:val="0"/>
          <w:numId w:val="6"/>
        </w:numPr>
        <w:snapToGrid w:val="0"/>
        <w:spacing w:line="320" w:lineRule="exact"/>
        <w:rPr>
          <w:szCs w:val="21"/>
        </w:rPr>
      </w:pPr>
      <w:r>
        <w:rPr>
          <w:rFonts w:hint="eastAsia"/>
          <w:szCs w:val="21"/>
        </w:rPr>
        <w:t>乙方提供文本讲义每人1份，确保质量。</w:t>
      </w:r>
    </w:p>
    <w:p>
      <w:pPr>
        <w:pStyle w:val="29"/>
        <w:tabs>
          <w:tab w:val="clear" w:pos="840"/>
        </w:tabs>
        <w:spacing w:line="320" w:lineRule="exact"/>
        <w:ind w:hanging="480"/>
        <w:rPr>
          <w:rFonts w:ascii="宋体" w:hAnsi="宋体"/>
          <w:szCs w:val="21"/>
        </w:rPr>
      </w:pPr>
      <w:r>
        <w:rPr>
          <w:rFonts w:hint="eastAsia"/>
          <w:szCs w:val="21"/>
        </w:rPr>
        <w:t>培训</w:t>
      </w:r>
      <w:r>
        <w:rPr>
          <w:rFonts w:hint="eastAsia" w:ascii="宋体" w:hAnsi="宋体"/>
          <w:szCs w:val="21"/>
        </w:rPr>
        <w:t>实施</w:t>
      </w:r>
    </w:p>
    <w:p>
      <w:pPr>
        <w:numPr>
          <w:ilvl w:val="0"/>
          <w:numId w:val="6"/>
        </w:numPr>
        <w:tabs>
          <w:tab w:val="left" w:pos="1408"/>
        </w:tabs>
        <w:snapToGrid w:val="0"/>
        <w:spacing w:line="320" w:lineRule="exact"/>
        <w:ind w:left="0"/>
        <w:rPr>
          <w:szCs w:val="21"/>
        </w:rPr>
      </w:pPr>
      <w:r>
        <w:rPr>
          <w:rFonts w:hint="eastAsia"/>
          <w:szCs w:val="21"/>
        </w:rPr>
        <w:t>上课期间，了解学员对课程内容及授课方式意见，并督促讲师根据学员意见进行适当调整。</w:t>
      </w:r>
    </w:p>
    <w:p>
      <w:pPr>
        <w:numPr>
          <w:ilvl w:val="0"/>
          <w:numId w:val="4"/>
        </w:numPr>
        <w:snapToGrid w:val="0"/>
        <w:spacing w:line="320" w:lineRule="exact"/>
        <w:ind w:left="482" w:hanging="482"/>
        <w:rPr>
          <w:szCs w:val="21"/>
        </w:rPr>
      </w:pPr>
      <w:r>
        <w:rPr>
          <w:rFonts w:hint="eastAsia"/>
          <w:szCs w:val="21"/>
        </w:rPr>
        <w:t>甲方职责</w:t>
      </w:r>
    </w:p>
    <w:p>
      <w:pPr>
        <w:numPr>
          <w:ilvl w:val="2"/>
          <w:numId w:val="7"/>
        </w:numPr>
        <w:tabs>
          <w:tab w:val="clear" w:pos="1260"/>
        </w:tabs>
        <w:snapToGrid w:val="0"/>
        <w:spacing w:line="320" w:lineRule="exact"/>
        <w:ind w:left="1236" w:hanging="876"/>
        <w:rPr>
          <w:szCs w:val="21"/>
        </w:rPr>
      </w:pPr>
      <w:r>
        <w:rPr>
          <w:rFonts w:hint="eastAsia"/>
          <w:szCs w:val="21"/>
        </w:rPr>
        <w:t>按本协议规定及时支付培训费用；</w:t>
      </w:r>
    </w:p>
    <w:p>
      <w:pPr>
        <w:numPr>
          <w:ilvl w:val="2"/>
          <w:numId w:val="7"/>
        </w:numPr>
        <w:tabs>
          <w:tab w:val="clear" w:pos="1260"/>
        </w:tabs>
        <w:snapToGrid w:val="0"/>
        <w:spacing w:line="320" w:lineRule="exact"/>
        <w:ind w:left="1236" w:hanging="876"/>
      </w:pPr>
      <w:r>
        <w:rPr>
          <w:rFonts w:hint="eastAsia"/>
          <w:szCs w:val="21"/>
        </w:rPr>
        <w:t>协助讲师进行培训准备及培训过程中必要的支持，包括提供参训人员基本信息等。</w:t>
      </w:r>
    </w:p>
    <w:p>
      <w:pPr>
        <w:numPr>
          <w:ilvl w:val="0"/>
          <w:numId w:val="4"/>
        </w:numPr>
        <w:snapToGrid w:val="0"/>
        <w:spacing w:line="320" w:lineRule="exact"/>
        <w:ind w:left="482" w:hanging="482"/>
        <w:rPr>
          <w:szCs w:val="21"/>
        </w:rPr>
      </w:pPr>
      <w:r>
        <w:rPr>
          <w:rFonts w:hint="eastAsia"/>
          <w:szCs w:val="21"/>
        </w:rPr>
        <w:t>费用及付款方式</w:t>
      </w:r>
    </w:p>
    <w:p>
      <w:pPr>
        <w:numPr>
          <w:ilvl w:val="0"/>
          <w:numId w:val="8"/>
        </w:numPr>
        <w:snapToGrid w:val="0"/>
        <w:spacing w:line="320" w:lineRule="exact"/>
        <w:ind w:left="793" w:leftChars="171" w:hanging="434" w:hangingChars="207"/>
        <w:rPr>
          <w:szCs w:val="21"/>
        </w:rPr>
      </w:pPr>
      <w:r>
        <w:rPr>
          <w:rFonts w:hint="eastAsia"/>
          <w:szCs w:val="21"/>
        </w:rPr>
        <w:t>培训费用总计</w:t>
      </w:r>
      <w:r>
        <w:rPr>
          <w:rFonts w:hint="eastAsia"/>
          <w:b/>
          <w:szCs w:val="21"/>
          <w:u w:val="single"/>
        </w:rPr>
        <w:t xml:space="preserve"> </w:t>
      </w:r>
      <w:r>
        <w:rPr>
          <w:b/>
          <w:szCs w:val="21"/>
          <w:u w:val="single"/>
        </w:rPr>
        <w:t>9800.0</w:t>
      </w:r>
      <w:r>
        <w:rPr>
          <w:rFonts w:hint="eastAsia"/>
          <w:b/>
          <w:szCs w:val="21"/>
          <w:u w:val="single"/>
        </w:rPr>
        <w:t xml:space="preserve"> </w:t>
      </w:r>
      <w:r>
        <w:rPr>
          <w:rFonts w:hint="eastAsia"/>
          <w:b/>
          <w:szCs w:val="21"/>
        </w:rPr>
        <w:t>元，（人民币大写：</w:t>
      </w:r>
      <w:r>
        <w:rPr>
          <w:rFonts w:hint="eastAsia"/>
          <w:b/>
          <w:szCs w:val="21"/>
          <w:u w:val="single"/>
        </w:rPr>
        <w:t xml:space="preserve"> </w:t>
      </w:r>
      <w:r>
        <w:rPr>
          <w:b/>
          <w:szCs w:val="21"/>
          <w:u w:val="single"/>
        </w:rPr>
        <w:t xml:space="preserve">玖仟捌佰元整 </w:t>
      </w:r>
      <w:r>
        <w:rPr>
          <w:rFonts w:hint="eastAsia"/>
          <w:b/>
          <w:szCs w:val="21"/>
        </w:rPr>
        <w:t>）；</w:t>
      </w:r>
      <w:r>
        <w:rPr>
          <w:rFonts w:hint="eastAsia"/>
          <w:szCs w:val="21"/>
        </w:rPr>
        <w:t>甲方于培训开始前（</w:t>
      </w:r>
      <w:r>
        <w:rPr>
          <w:szCs w:val="21"/>
        </w:rPr>
        <w:t>2023-10-31</w:t>
      </w:r>
      <w:r>
        <w:rPr>
          <w:rFonts w:hint="eastAsia"/>
          <w:szCs w:val="21"/>
        </w:rPr>
        <w:t>前）一次性付清全部款项给乙方，乙方于</w:t>
      </w:r>
      <w:r>
        <w:rPr>
          <w:szCs w:val="21"/>
        </w:rPr>
        <w:t>2023-10-31</w:t>
      </w:r>
      <w:r>
        <w:rPr>
          <w:rFonts w:hint="eastAsia"/>
          <w:szCs w:val="21"/>
        </w:rPr>
        <w:t>前开具正式发票给甲方。</w:t>
      </w:r>
    </w:p>
    <w:p>
      <w:pPr>
        <w:numPr>
          <w:ilvl w:val="0"/>
          <w:numId w:val="8"/>
        </w:numPr>
        <w:snapToGrid w:val="0"/>
        <w:spacing w:line="320" w:lineRule="exact"/>
        <w:ind w:left="793" w:leftChars="171" w:hanging="434" w:hangingChars="207"/>
        <w:rPr>
          <w:szCs w:val="21"/>
        </w:rPr>
      </w:pPr>
      <w:r>
        <w:rPr>
          <w:rFonts w:hint="eastAsia"/>
          <w:szCs w:val="21"/>
        </w:rPr>
        <w:t>付款方式：转账。</w:t>
      </w:r>
    </w:p>
    <w:p>
      <w:pPr>
        <w:numPr>
          <w:ilvl w:val="0"/>
          <w:numId w:val="8"/>
        </w:numPr>
        <w:snapToGrid w:val="0"/>
        <w:spacing w:line="320" w:lineRule="exact"/>
        <w:ind w:left="793" w:leftChars="171" w:hanging="434" w:hangingChars="207"/>
        <w:rPr>
          <w:szCs w:val="21"/>
        </w:rPr>
      </w:pPr>
      <w:r>
        <w:rPr>
          <w:rFonts w:hint="eastAsia"/>
          <w:szCs w:val="21"/>
        </w:rPr>
        <w:t>账户信息：</w:t>
      </w:r>
    </w:p>
    <w:p>
      <w:pPr>
        <w:numPr>
          <w:ilvl w:val="0"/>
          <w:numId w:val="9"/>
        </w:numPr>
        <w:spacing w:line="360" w:lineRule="auto"/>
        <w:rPr>
          <w:rFonts w:ascii="Arial" w:hAnsi="宋体"/>
          <w:szCs w:val="21"/>
        </w:rPr>
      </w:pPr>
      <w:r>
        <w:rPr>
          <w:rFonts w:hint="eastAsia" w:ascii="Arial" w:hAnsi="宋体"/>
          <w:szCs w:val="21"/>
        </w:rPr>
        <w:t>乙</w:t>
      </w:r>
      <w:r>
        <w:rPr>
          <w:rFonts w:ascii="Arial" w:hAnsi="宋体"/>
          <w:szCs w:val="21"/>
        </w:rPr>
        <w:t>方负责出具有效的发票</w:t>
      </w:r>
      <w:r>
        <w:rPr>
          <w:rFonts w:hint="eastAsia" w:ascii="Arial" w:hAnsi="宋体"/>
          <w:szCs w:val="21"/>
        </w:rPr>
        <w:t>，甲方发票信息如下</w:t>
      </w:r>
    </w:p>
    <w:tbl>
      <w:tblPr>
        <w:tblStyle w:val="18"/>
        <w:tblW w:w="0" w:type="auto"/>
        <w:tblInd w:w="1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rFonts w:ascii="Arial" w:hAnsi="Arial"/>
                <w:b/>
                <w:bCs/>
                <w:szCs w:val="21"/>
              </w:rPr>
            </w:pPr>
            <w:r>
              <w:rPr>
                <w:rFonts w:hint="eastAsia" w:ascii="Arial" w:hAnsi="Arial"/>
                <w:b/>
                <w:bCs/>
                <w:szCs w:val="21"/>
              </w:rPr>
              <w:t>发票内容</w:t>
            </w:r>
          </w:p>
        </w:tc>
        <w:tc>
          <w:tcPr>
            <w:tcW w:w="5760" w:type="dxa"/>
            <w:vAlign w:val="center"/>
          </w:tcPr>
          <w:p>
            <w:pPr>
              <w:spacing w:line="360" w:lineRule="auto"/>
              <w:jc w:val="center"/>
              <w:rPr>
                <w:rFonts w:ascii="Arial" w:hAnsi="Arial"/>
                <w:szCs w:val="21"/>
              </w:rPr>
            </w:pPr>
            <w:r>
              <w:rPr>
                <w:rFonts w:hint="eastAsia" w:ascii="Arial" w:hAnsi="Arial"/>
                <w:szCs w:val="21"/>
              </w:rPr>
              <w:t>*非学历教育服务*培训费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rFonts w:ascii="Arial" w:hAnsi="Arial"/>
                <w:b/>
                <w:bCs/>
                <w:szCs w:val="21"/>
              </w:rPr>
            </w:pPr>
            <w:r>
              <w:rPr>
                <w:rFonts w:hint="eastAsia" w:ascii="Arial" w:hAnsi="Arial"/>
                <w:b/>
                <w:bCs/>
                <w:szCs w:val="21"/>
              </w:rPr>
              <w:t>发票类型</w:t>
            </w:r>
          </w:p>
        </w:tc>
        <w:tc>
          <w:tcPr>
            <w:tcW w:w="5760" w:type="dxa"/>
            <w:vAlign w:val="center"/>
          </w:tcPr>
          <w:p>
            <w:pPr>
              <w:spacing w:line="360" w:lineRule="auto"/>
              <w:jc w:val="center"/>
              <w:rPr>
                <w:rFonts w:ascii="Arial" w:hAnsi="Arial"/>
                <w:szCs w:val="21"/>
              </w:rPr>
            </w:pPr>
            <w:r>
              <w:rPr>
                <w:rFonts w:ascii="Arial" w:hAnsi="Arial"/>
                <w:szCs w:val="21"/>
              </w:rPr>
              <w:t>增值税专用发票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hint="eastAsia" w:ascii="Arial" w:hAnsi="Arial"/>
                <w:b/>
                <w:bCs/>
                <w:szCs w:val="21"/>
              </w:rPr>
              <w:t>名称</w:t>
            </w:r>
          </w:p>
        </w:tc>
        <w:tc>
          <w:tcPr>
            <w:tcW w:w="5760" w:type="dxa"/>
            <w:vAlign w:val="center"/>
          </w:tcPr>
          <w:p>
            <w:pPr>
              <w:spacing w:line="360" w:lineRule="auto"/>
              <w:jc w:val="center"/>
              <w:rPr>
                <w:rFonts w:ascii="Arial" w:hAnsi="Arial"/>
                <w:szCs w:val="21"/>
              </w:rPr>
            </w:pPr>
            <w:r>
              <w:rPr>
                <w:rFonts w:ascii="Arial" w:hAnsi="Arial"/>
                <w:szCs w:val="21"/>
              </w:rPr>
              <w:t>无锡英臻科技有限公司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hint="eastAsia" w:ascii="Arial" w:hAnsi="Arial"/>
                <w:b/>
                <w:bCs/>
                <w:szCs w:val="21"/>
              </w:rPr>
              <w:t>纳税人识别号</w:t>
            </w:r>
          </w:p>
        </w:tc>
        <w:tc>
          <w:tcPr>
            <w:tcW w:w="5760" w:type="dxa"/>
            <w:vAlign w:val="center"/>
          </w:tcPr>
          <w:p>
            <w:pPr>
              <w:spacing w:line="360" w:lineRule="auto"/>
              <w:jc w:val="center"/>
              <w:rPr>
                <w:rFonts w:ascii="Arial" w:hAnsi="Arial"/>
                <w:szCs w:val="21"/>
              </w:rPr>
            </w:pPr>
            <w:r>
              <w:rPr>
                <w:rFonts w:ascii="Arial" w:hAnsi="Arial"/>
                <w:szCs w:val="21"/>
              </w:rPr>
              <w:t>91320214693333296Q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hint="eastAsia" w:ascii="Arial" w:hAnsi="Arial"/>
                <w:b/>
                <w:bCs/>
                <w:szCs w:val="21"/>
              </w:rPr>
              <w:t>地址</w:t>
            </w:r>
          </w:p>
        </w:tc>
        <w:tc>
          <w:tcPr>
            <w:tcW w:w="5760" w:type="dxa"/>
            <w:vAlign w:val="center"/>
          </w:tcPr>
          <w:p>
            <w:pPr>
              <w:spacing w:line="360" w:lineRule="auto"/>
              <w:jc w:val="center"/>
              <w:rPr>
                <w:rFonts w:ascii="Arial" w:hAnsi="Arial"/>
                <w:szCs w:val="21"/>
              </w:rPr>
            </w:pPr>
            <w:r>
              <w:rPr>
                <w:rFonts w:ascii="Arial" w:hAnsi="Arial"/>
                <w:szCs w:val="21"/>
              </w:rPr>
              <w:t>无锡市新吴区菱湖大道200号F4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hint="eastAsia" w:ascii="Arial" w:hAnsi="Arial"/>
                <w:b/>
                <w:bCs/>
                <w:szCs w:val="21"/>
              </w:rPr>
              <w:t>电话</w:t>
            </w:r>
          </w:p>
        </w:tc>
        <w:tc>
          <w:tcPr>
            <w:tcW w:w="5760" w:type="dxa"/>
            <w:vAlign w:val="center"/>
          </w:tcPr>
          <w:p>
            <w:pPr>
              <w:spacing w:line="360" w:lineRule="auto"/>
              <w:jc w:val="center"/>
              <w:rPr>
                <w:rFonts w:ascii="Arial" w:hAnsi="Arial"/>
                <w:szCs w:val="21"/>
              </w:rPr>
            </w:pPr>
            <w:r>
              <w:rPr>
                <w:rFonts w:ascii="Arial" w:hAnsi="Arial"/>
                <w:szCs w:val="21"/>
              </w:rPr>
              <w:t>0510-81816208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rFonts w:ascii="Arial" w:hAnsi="Arial"/>
                <w:b/>
                <w:bCs/>
                <w:szCs w:val="21"/>
              </w:rPr>
            </w:pPr>
            <w:r>
              <w:rPr>
                <w:rFonts w:hint="eastAsia" w:ascii="Arial" w:hAnsi="Arial"/>
                <w:b/>
                <w:bCs/>
                <w:szCs w:val="21"/>
              </w:rPr>
              <w:t>开户行</w:t>
            </w:r>
          </w:p>
        </w:tc>
        <w:tc>
          <w:tcPr>
            <w:tcW w:w="5760" w:type="dxa"/>
            <w:vAlign w:val="center"/>
          </w:tcPr>
          <w:p>
            <w:pPr>
              <w:spacing w:line="360" w:lineRule="auto"/>
              <w:jc w:val="center"/>
              <w:rPr>
                <w:rFonts w:ascii="Arial" w:hAnsi="Arial"/>
                <w:szCs w:val="21"/>
              </w:rPr>
            </w:pPr>
            <w:r>
              <w:rPr>
                <w:rFonts w:ascii="Arial" w:hAnsi="Arial"/>
                <w:szCs w:val="21"/>
              </w:rPr>
              <w:t>中国农业银行无锡新都会支行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rFonts w:ascii="Arial" w:hAnsi="Arial"/>
                <w:b/>
                <w:bCs/>
                <w:szCs w:val="21"/>
              </w:rPr>
            </w:pPr>
            <w:r>
              <w:rPr>
                <w:rFonts w:hint="eastAsia" w:ascii="Arial" w:hAnsi="Arial"/>
                <w:b/>
                <w:bCs/>
                <w:szCs w:val="21"/>
              </w:rPr>
              <w:t>账号</w:t>
            </w:r>
          </w:p>
        </w:tc>
        <w:tc>
          <w:tcPr>
            <w:tcW w:w="5760" w:type="dxa"/>
            <w:vAlign w:val="center"/>
          </w:tcPr>
          <w:p>
            <w:pPr>
              <w:spacing w:line="360" w:lineRule="auto"/>
              <w:jc w:val="center"/>
              <w:rPr>
                <w:rFonts w:ascii="Arial" w:hAnsi="Arial"/>
                <w:szCs w:val="21"/>
              </w:rPr>
            </w:pPr>
            <w:r>
              <w:rPr>
                <w:rFonts w:ascii="Arial" w:hAnsi="Arial"/>
                <w:szCs w:val="21"/>
              </w:rPr>
              <w:t>10635501040005803</w:t>
            </w:r>
          </w:p>
        </w:tc>
      </w:tr>
    </w:tbl>
    <w:p>
      <w:pPr>
        <w:numPr>
          <w:ilvl w:val="0"/>
          <w:numId w:val="10"/>
        </w:numPr>
        <w:spacing w:line="360" w:lineRule="auto"/>
        <w:rPr>
          <w:rFonts w:ascii="Arial" w:hAnsi="宋体"/>
          <w:szCs w:val="21"/>
        </w:rPr>
      </w:pPr>
      <w:r>
        <w:rPr>
          <w:rFonts w:hint="eastAsia" w:ascii="Arial" w:hAnsi="宋体"/>
          <w:szCs w:val="21"/>
        </w:rPr>
        <w:t>乙方</w:t>
      </w:r>
      <w:r>
        <w:rPr>
          <w:rFonts w:ascii="Arial" w:hAnsi="宋体"/>
          <w:szCs w:val="21"/>
        </w:rPr>
        <w:t>账户信息如下：</w:t>
      </w:r>
    </w:p>
    <w:tbl>
      <w:tblPr>
        <w:tblStyle w:val="18"/>
        <w:tblW w:w="0" w:type="auto"/>
        <w:tblInd w:w="17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ascii="Arial" w:hAnsi="宋体"/>
                <w:b/>
                <w:bCs/>
                <w:szCs w:val="21"/>
              </w:rPr>
              <w:t>户名</w:t>
            </w:r>
          </w:p>
        </w:tc>
        <w:tc>
          <w:tcPr>
            <w:tcW w:w="5760" w:type="dxa"/>
          </w:tcPr>
          <w:p>
            <w:pPr>
              <w:jc w:val="center"/>
            </w:pPr>
            <w:r>
              <w:rPr>
                <w:rFonts w:hint="eastAsia"/>
              </w:rPr>
              <w:t>高维信息技术（深圳）有限公司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rFonts w:ascii="Arial" w:hAnsi="宋体"/>
                <w:b/>
                <w:bCs/>
                <w:szCs w:val="21"/>
              </w:rPr>
            </w:pPr>
            <w:r>
              <w:rPr>
                <w:rFonts w:ascii="Arial" w:hAnsi="宋体"/>
                <w:b/>
                <w:bCs/>
                <w:szCs w:val="21"/>
              </w:rPr>
              <w:t>开户银行</w:t>
            </w:r>
          </w:p>
        </w:tc>
        <w:tc>
          <w:tcPr>
            <w:tcW w:w="5760" w:type="dxa"/>
          </w:tcPr>
          <w:p>
            <w:pPr>
              <w:jc w:val="center"/>
            </w:pPr>
            <w:r>
              <w:rPr>
                <w:rFonts w:hint="eastAsia"/>
              </w:rPr>
              <w:t>招商银行股份有限公司深圳深圳湾支行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C0C0C0"/>
            <w:vAlign w:val="center"/>
          </w:tcPr>
          <w:p>
            <w:pPr>
              <w:jc w:val="center"/>
              <w:rPr>
                <w:b/>
                <w:bCs/>
                <w:szCs w:val="21"/>
              </w:rPr>
            </w:pPr>
            <w:r>
              <w:rPr>
                <w:rFonts w:hint="eastAsia" w:ascii="Arial" w:hAnsi="Arial"/>
                <w:b/>
                <w:bCs/>
                <w:szCs w:val="21"/>
              </w:rPr>
              <w:t>账号</w:t>
            </w:r>
          </w:p>
        </w:tc>
        <w:tc>
          <w:tcPr>
            <w:tcW w:w="5760" w:type="dxa"/>
          </w:tcPr>
          <w:p>
            <w:pPr>
              <w:spacing w:line="360" w:lineRule="auto"/>
              <w:jc w:val="center"/>
              <w:rPr>
                <w:rFonts w:ascii="Arial" w:hAnsi="Arial"/>
                <w:szCs w:val="21"/>
              </w:rPr>
            </w:pPr>
            <w:r>
              <w:rPr>
                <w:rFonts w:hint="eastAsia"/>
              </w:rPr>
              <w:t>755926310510802</w:t>
            </w:r>
            <w:r>
              <w:rPr>
                <w:rFonts w:hint="eastAsia" w:ascii="Arial" w:hAnsi="Arial"/>
                <w:szCs w:val="21"/>
              </w:rPr>
              <w:t xml:space="preserve">  </w:t>
            </w:r>
          </w:p>
        </w:tc>
      </w:tr>
    </w:tbl>
    <w:p>
      <w:pPr>
        <w:snapToGrid w:val="0"/>
        <w:spacing w:line="320" w:lineRule="exact"/>
        <w:ind w:left="795" w:leftChars="171" w:hanging="436" w:hangingChars="207"/>
        <w:rPr>
          <w:b/>
          <w:szCs w:val="21"/>
        </w:rPr>
      </w:pPr>
    </w:p>
    <w:p>
      <w:pPr>
        <w:numPr>
          <w:ilvl w:val="0"/>
          <w:numId w:val="4"/>
        </w:numPr>
        <w:snapToGrid w:val="0"/>
        <w:spacing w:line="320" w:lineRule="exact"/>
        <w:rPr>
          <w:szCs w:val="21"/>
        </w:rPr>
      </w:pPr>
      <w:r>
        <w:rPr>
          <w:rFonts w:hint="eastAsia"/>
          <w:szCs w:val="21"/>
        </w:rPr>
        <w:t>争议的解决</w:t>
      </w:r>
    </w:p>
    <w:p>
      <w:pPr>
        <w:numPr>
          <w:ilvl w:val="1"/>
          <w:numId w:val="4"/>
        </w:numPr>
        <w:snapToGrid w:val="0"/>
        <w:spacing w:line="320" w:lineRule="exact"/>
        <w:rPr>
          <w:szCs w:val="21"/>
        </w:rPr>
      </w:pPr>
      <w:r>
        <w:rPr>
          <w:rFonts w:hint="eastAsia"/>
          <w:szCs w:val="21"/>
        </w:rPr>
        <w:t>甲方对乙方的服务项目如有不满，</w:t>
      </w:r>
      <w:r>
        <w:rPr>
          <w:rFonts w:hint="eastAsia"/>
          <w:szCs w:val="21"/>
          <w:lang w:eastAsia="zh-Hans"/>
        </w:rPr>
        <w:t>应书面提出不满的合理理由</w:t>
      </w:r>
      <w:r>
        <w:rPr>
          <w:szCs w:val="21"/>
          <w:lang w:eastAsia="zh-Hans"/>
        </w:rPr>
        <w:t>，</w:t>
      </w:r>
      <w:r>
        <w:rPr>
          <w:rFonts w:hint="eastAsia"/>
          <w:szCs w:val="21"/>
        </w:rPr>
        <w:t>双方</w:t>
      </w:r>
      <w:r>
        <w:rPr>
          <w:rFonts w:hint="eastAsia"/>
          <w:szCs w:val="21"/>
          <w:lang w:eastAsia="zh-Hans"/>
        </w:rPr>
        <w:t>进行</w:t>
      </w:r>
      <w:r>
        <w:rPr>
          <w:rFonts w:hint="eastAsia"/>
          <w:szCs w:val="21"/>
        </w:rPr>
        <w:t>及时沟通，乙方尽最大努力按甲方</w:t>
      </w:r>
      <w:r>
        <w:rPr>
          <w:rFonts w:hint="eastAsia"/>
          <w:szCs w:val="21"/>
          <w:lang w:eastAsia="zh-Hans"/>
        </w:rPr>
        <w:t>的具体</w:t>
      </w:r>
      <w:r>
        <w:rPr>
          <w:rFonts w:hint="eastAsia"/>
          <w:szCs w:val="21"/>
        </w:rPr>
        <w:t>要求进行调整。</w:t>
      </w:r>
    </w:p>
    <w:p>
      <w:pPr>
        <w:numPr>
          <w:ilvl w:val="1"/>
          <w:numId w:val="4"/>
        </w:numPr>
        <w:snapToGrid w:val="0"/>
        <w:spacing w:line="320" w:lineRule="exact"/>
        <w:rPr>
          <w:szCs w:val="21"/>
        </w:rPr>
      </w:pPr>
      <w:r>
        <w:rPr>
          <w:rFonts w:hint="eastAsia"/>
          <w:szCs w:val="21"/>
        </w:rPr>
        <w:t>乙方仍需保证培训时间不少于6小时/天。</w:t>
      </w:r>
    </w:p>
    <w:p>
      <w:pPr>
        <w:numPr>
          <w:ilvl w:val="1"/>
          <w:numId w:val="4"/>
        </w:numPr>
        <w:snapToGrid w:val="0"/>
        <w:spacing w:line="320" w:lineRule="exact"/>
        <w:rPr>
          <w:szCs w:val="21"/>
        </w:rPr>
      </w:pPr>
      <w:r>
        <w:rPr>
          <w:rFonts w:hint="eastAsia"/>
          <w:szCs w:val="21"/>
        </w:rPr>
        <w:t>甲方如未能按时支付培训咨询费用，逾期10天，每天应支付所欠金额</w:t>
      </w:r>
      <w:r>
        <w:rPr>
          <w:szCs w:val="21"/>
        </w:rPr>
        <w:t>5</w:t>
      </w:r>
      <w:r>
        <w:rPr>
          <w:rFonts w:hint="eastAsia"/>
          <w:szCs w:val="21"/>
        </w:rPr>
        <w:t>‰的滞纳金。逾期</w:t>
      </w:r>
      <w:r>
        <w:rPr>
          <w:szCs w:val="21"/>
        </w:rPr>
        <w:t>30</w:t>
      </w:r>
      <w:r>
        <w:rPr>
          <w:rFonts w:hint="eastAsia"/>
          <w:szCs w:val="21"/>
        </w:rPr>
        <w:t>天仍未补齐应付的培训咨询费用及滞纳金，除向乙方支付培训咨询费和滞纳金外，</w:t>
      </w:r>
      <w:r>
        <w:rPr>
          <w:rFonts w:hint="eastAsia"/>
          <w:szCs w:val="21"/>
          <w:lang w:eastAsia="zh-Hans"/>
        </w:rPr>
        <w:t>乙方有权解除合同并要求甲方承担违约责任及乙方因此造成的全部损失</w:t>
      </w:r>
      <w:r>
        <w:rPr>
          <w:rFonts w:hint="eastAsia"/>
          <w:szCs w:val="21"/>
        </w:rPr>
        <w:t>。</w:t>
      </w:r>
    </w:p>
    <w:p>
      <w:pPr>
        <w:numPr>
          <w:ilvl w:val="1"/>
          <w:numId w:val="4"/>
        </w:numPr>
        <w:snapToGrid w:val="0"/>
        <w:spacing w:line="320" w:lineRule="exact"/>
        <w:rPr>
          <w:szCs w:val="21"/>
        </w:rPr>
      </w:pPr>
      <w:r>
        <w:rPr>
          <w:rFonts w:hint="eastAsia"/>
          <w:szCs w:val="21"/>
        </w:rPr>
        <w:t>在合同执行过程中发生争议时，双方应协商解决，也可以要求调解，如不愿调解或协商不成时，任何一方可以提请</w:t>
      </w:r>
      <w:r>
        <w:rPr>
          <w:rFonts w:hint="eastAsia"/>
          <w:szCs w:val="21"/>
          <w:lang w:eastAsia="zh-Hans"/>
        </w:rPr>
        <w:t>合同签订地</w:t>
      </w:r>
      <w:r>
        <w:rPr>
          <w:rFonts w:hint="eastAsia"/>
          <w:szCs w:val="21"/>
        </w:rPr>
        <w:t>有管辖权的法院解决。</w:t>
      </w:r>
    </w:p>
    <w:p>
      <w:pPr>
        <w:numPr>
          <w:ilvl w:val="1"/>
          <w:numId w:val="4"/>
        </w:numPr>
        <w:snapToGrid w:val="0"/>
        <w:spacing w:line="320" w:lineRule="exact"/>
        <w:rPr>
          <w:rFonts w:eastAsia="Times New Roman"/>
          <w:szCs w:val="21"/>
          <w:lang w:eastAsia="zh-Hans"/>
        </w:rPr>
      </w:pPr>
      <w:r>
        <w:rPr>
          <w:rFonts w:hint="eastAsia"/>
          <w:szCs w:val="21"/>
        </w:rPr>
        <w:t>甲乙双方不得无故违约，如任何一方违约造成合同无法执行，违约方须承担相关责任并向对方支付培训总费用的3</w:t>
      </w:r>
      <w:r>
        <w:rPr>
          <w:szCs w:val="21"/>
        </w:rPr>
        <w:t>0%</w:t>
      </w:r>
      <w:r>
        <w:rPr>
          <w:rFonts w:hint="eastAsia"/>
          <w:szCs w:val="21"/>
        </w:rPr>
        <w:t>的违约金。</w:t>
      </w:r>
    </w:p>
    <w:p>
      <w:pPr>
        <w:numPr>
          <w:ilvl w:val="0"/>
          <w:numId w:val="11"/>
        </w:numPr>
        <w:tabs>
          <w:tab w:val="left" w:pos="600"/>
        </w:tabs>
        <w:snapToGrid w:val="0"/>
        <w:spacing w:line="320" w:lineRule="exact"/>
        <w:rPr>
          <w:szCs w:val="21"/>
          <w:lang w:eastAsia="zh-Hans"/>
        </w:rPr>
      </w:pPr>
      <w:r>
        <w:rPr>
          <w:rFonts w:hint="eastAsia"/>
          <w:szCs w:val="21"/>
          <w:lang w:eastAsia="zh-Hans"/>
        </w:rPr>
        <w:t>不可抗力</w:t>
      </w:r>
    </w:p>
    <w:p>
      <w:pPr>
        <w:numPr>
          <w:ilvl w:val="0"/>
          <w:numId w:val="12"/>
        </w:numPr>
        <w:snapToGrid w:val="0"/>
        <w:spacing w:line="320" w:lineRule="exact"/>
        <w:ind w:firstLine="525" w:firstLineChars="250"/>
        <w:rPr>
          <w:szCs w:val="21"/>
          <w:lang w:eastAsia="zh-Hans"/>
        </w:rPr>
      </w:pPr>
      <w:r>
        <w:rPr>
          <w:rFonts w:hint="eastAsia"/>
          <w:szCs w:val="21"/>
        </w:rPr>
        <w:t xml:space="preserve"> </w:t>
      </w:r>
      <w:r>
        <w:rPr>
          <w:rFonts w:hint="eastAsia"/>
          <w:szCs w:val="21"/>
          <w:lang w:eastAsia="zh-Hans"/>
        </w:rPr>
        <w:t>本合同所称“不可抗力”是指:</w:t>
      </w:r>
    </w:p>
    <w:p>
      <w:pPr>
        <w:snapToGrid w:val="0"/>
        <w:spacing w:line="320" w:lineRule="exact"/>
        <w:ind w:firstLine="525" w:firstLineChars="250"/>
        <w:rPr>
          <w:szCs w:val="21"/>
          <w:lang w:eastAsia="zh-Hans"/>
        </w:rPr>
      </w:pPr>
      <w:r>
        <w:rPr>
          <w:szCs w:val="21"/>
          <w:lang w:eastAsia="zh-Hans"/>
        </w:rPr>
        <w:t>（1）</w:t>
      </w:r>
      <w:r>
        <w:rPr>
          <w:rFonts w:hint="eastAsia"/>
          <w:szCs w:val="21"/>
          <w:lang w:eastAsia="zh-Hans"/>
        </w:rPr>
        <w:t>因疫情或疫情防控导致双方无法依约履行合同义务的；</w:t>
      </w:r>
    </w:p>
    <w:p>
      <w:pPr>
        <w:snapToGrid w:val="0"/>
        <w:spacing w:line="320" w:lineRule="exact"/>
        <w:ind w:firstLine="525" w:firstLineChars="250"/>
        <w:rPr>
          <w:szCs w:val="21"/>
          <w:lang w:eastAsia="zh-Hans"/>
        </w:rPr>
      </w:pPr>
      <w:r>
        <w:rPr>
          <w:szCs w:val="21"/>
          <w:lang w:eastAsia="zh-Hans"/>
        </w:rPr>
        <w:t>（2）</w:t>
      </w:r>
      <w:r>
        <w:rPr>
          <w:rFonts w:hint="eastAsia"/>
          <w:szCs w:val="21"/>
          <w:lang w:eastAsia="zh-Hans"/>
        </w:rPr>
        <w:t>因航空管制导致任一方无法按时到达活动场地的；</w:t>
      </w:r>
    </w:p>
    <w:p>
      <w:pPr>
        <w:snapToGrid w:val="0"/>
        <w:spacing w:line="320" w:lineRule="exact"/>
        <w:ind w:firstLine="525" w:firstLineChars="250"/>
        <w:rPr>
          <w:szCs w:val="21"/>
          <w:lang w:eastAsia="zh-Hans"/>
        </w:rPr>
      </w:pPr>
      <w:r>
        <w:rPr>
          <w:szCs w:val="21"/>
          <w:lang w:eastAsia="zh-Hans"/>
        </w:rPr>
        <w:t>（3）</w:t>
      </w:r>
      <w:r>
        <w:rPr>
          <w:rFonts w:hint="eastAsia"/>
          <w:szCs w:val="21"/>
          <w:lang w:eastAsia="zh-Hans"/>
        </w:rPr>
        <w:t>发生如地震、海啸、台风、洪水、泥石流、冰雹等自然灾害的；</w:t>
      </w:r>
    </w:p>
    <w:p>
      <w:pPr>
        <w:snapToGrid w:val="0"/>
        <w:spacing w:line="320" w:lineRule="exact"/>
        <w:ind w:firstLine="525" w:firstLineChars="250"/>
        <w:rPr>
          <w:szCs w:val="21"/>
          <w:lang w:eastAsia="zh-Hans"/>
        </w:rPr>
      </w:pPr>
      <w:r>
        <w:rPr>
          <w:szCs w:val="21"/>
          <w:lang w:eastAsia="zh-Hans"/>
        </w:rPr>
        <w:t>（4）</w:t>
      </w:r>
      <w:r>
        <w:rPr>
          <w:rFonts w:hint="eastAsia"/>
          <w:szCs w:val="21"/>
          <w:lang w:eastAsia="zh-Hans"/>
        </w:rPr>
        <w:t>发生战争、罢工、骚乱、暴动等社会异常事件的；</w:t>
      </w:r>
    </w:p>
    <w:p>
      <w:pPr>
        <w:snapToGrid w:val="0"/>
        <w:spacing w:line="320" w:lineRule="exact"/>
        <w:ind w:firstLine="525" w:firstLineChars="250"/>
        <w:rPr>
          <w:szCs w:val="21"/>
          <w:lang w:eastAsia="zh-Hans"/>
        </w:rPr>
      </w:pPr>
      <w:r>
        <w:rPr>
          <w:szCs w:val="21"/>
          <w:lang w:eastAsia="zh-Hans"/>
        </w:rPr>
        <w:t>（5）</w:t>
      </w:r>
      <w:r>
        <w:rPr>
          <w:rFonts w:hint="eastAsia"/>
          <w:szCs w:val="21"/>
          <w:lang w:eastAsia="zh-Hans"/>
        </w:rPr>
        <w:t>其他法律规定的不可抗力事件；</w:t>
      </w:r>
    </w:p>
    <w:p>
      <w:pPr>
        <w:snapToGrid w:val="0"/>
        <w:spacing w:line="320" w:lineRule="exact"/>
        <w:ind w:firstLine="525" w:firstLineChars="250"/>
        <w:rPr>
          <w:szCs w:val="21"/>
          <w:lang w:eastAsia="zh-Hans"/>
        </w:rPr>
      </w:pPr>
      <w:r>
        <w:rPr>
          <w:rFonts w:hint="eastAsia"/>
          <w:szCs w:val="21"/>
          <w:lang w:eastAsia="zh-Hans"/>
        </w:rPr>
        <w:t xml:space="preserve">2. </w:t>
      </w:r>
      <w:r>
        <w:rPr>
          <w:rFonts w:hint="eastAsia"/>
          <w:szCs w:val="21"/>
        </w:rPr>
        <w:t xml:space="preserve"> </w:t>
      </w:r>
      <w:r>
        <w:rPr>
          <w:rFonts w:hint="eastAsia"/>
          <w:szCs w:val="21"/>
          <w:lang w:eastAsia="zh-Hans"/>
        </w:rPr>
        <w:t>如发生不可抗力事件，遭受该事件的一方应立即通知对方该事件的性质、发生日期、预计持续时间等有关的细节，以及该事件阻碍通知方履行其于本合同项下义务的程度。因不可抗力事件致使合同不能履行造成损失，任何一方不向对方承担赔偿。因不可抗力事件造成双方损失的，各自应承担自己的损失。宣称发生不可抗力的一方应立即书面通知另一方，并在发出书面通知后的【 7】日内提供不可抗力事件发生及其持续时间的足够证据。宣称发生不可抗力的一方应尽一切合理的努力减少不可抗力所造成的损失和影响。</w:t>
      </w:r>
    </w:p>
    <w:p>
      <w:pPr>
        <w:snapToGrid w:val="0"/>
        <w:spacing w:line="320" w:lineRule="exact"/>
        <w:ind w:firstLine="525" w:firstLineChars="250"/>
        <w:rPr>
          <w:szCs w:val="21"/>
          <w:lang w:eastAsia="zh-Hans"/>
        </w:rPr>
      </w:pPr>
      <w:r>
        <w:rPr>
          <w:rFonts w:hint="eastAsia"/>
          <w:szCs w:val="21"/>
        </w:rPr>
        <w:t xml:space="preserve">3.  </w:t>
      </w:r>
      <w:r>
        <w:rPr>
          <w:rFonts w:hint="eastAsia"/>
          <w:szCs w:val="21"/>
          <w:lang w:eastAsia="zh-Hans"/>
        </w:rPr>
        <w:t>若因不可抗力导致任一方无法依约履行合同合同义务的，则培训时间相应顺延或以双方另行协商的履约时间为准。</w:t>
      </w:r>
    </w:p>
    <w:p>
      <w:pPr>
        <w:tabs>
          <w:tab w:val="left" w:pos="600"/>
        </w:tabs>
        <w:snapToGrid w:val="0"/>
        <w:spacing w:line="320" w:lineRule="exact"/>
        <w:rPr>
          <w:szCs w:val="21"/>
          <w:lang w:eastAsia="zh-Hans"/>
        </w:rPr>
      </w:pPr>
    </w:p>
    <w:p>
      <w:pPr>
        <w:snapToGrid w:val="0"/>
        <w:spacing w:line="320" w:lineRule="exact"/>
        <w:rPr>
          <w:szCs w:val="21"/>
        </w:rPr>
      </w:pPr>
      <w:r>
        <w:rPr>
          <w:rFonts w:hint="eastAsia"/>
          <w:szCs w:val="21"/>
          <w:lang w:eastAsia="zh-Hans"/>
        </w:rPr>
        <w:t>十</w:t>
      </w:r>
      <w:r>
        <w:rPr>
          <w:szCs w:val="21"/>
          <w:lang w:eastAsia="zh-Hans"/>
        </w:rPr>
        <w:t>、</w:t>
      </w:r>
      <w:r>
        <w:rPr>
          <w:rFonts w:hint="eastAsia"/>
          <w:szCs w:val="21"/>
        </w:rPr>
        <w:t>合同的终止</w:t>
      </w:r>
    </w:p>
    <w:p>
      <w:pPr>
        <w:snapToGrid w:val="0"/>
        <w:spacing w:line="320" w:lineRule="exact"/>
        <w:ind w:left="481" w:leftChars="229" w:firstLine="417" w:firstLineChars="199"/>
        <w:rPr>
          <w:szCs w:val="21"/>
        </w:rPr>
      </w:pPr>
      <w:r>
        <w:rPr>
          <w:rFonts w:hint="eastAsia"/>
          <w:szCs w:val="21"/>
        </w:rPr>
        <w:t>本合同在双方责任义务履行完毕后终止。</w:t>
      </w:r>
    </w:p>
    <w:p>
      <w:pPr>
        <w:snapToGrid w:val="0"/>
        <w:spacing w:line="320" w:lineRule="exact"/>
        <w:rPr>
          <w:szCs w:val="21"/>
        </w:rPr>
      </w:pPr>
      <w:r>
        <w:rPr>
          <w:rFonts w:hint="eastAsia"/>
          <w:szCs w:val="21"/>
          <w:lang w:eastAsia="zh-Hans"/>
        </w:rPr>
        <w:t>十一</w:t>
      </w:r>
      <w:r>
        <w:rPr>
          <w:szCs w:val="21"/>
          <w:lang w:eastAsia="zh-Hans"/>
        </w:rPr>
        <w:t>、</w:t>
      </w:r>
      <w:r>
        <w:rPr>
          <w:rFonts w:hint="eastAsia"/>
          <w:szCs w:val="21"/>
          <w:lang w:eastAsia="zh-Hans"/>
        </w:rPr>
        <w:t>其他</w:t>
      </w:r>
    </w:p>
    <w:p>
      <w:pPr>
        <w:snapToGrid w:val="0"/>
        <w:spacing w:line="320" w:lineRule="exact"/>
        <w:ind w:firstLine="525" w:firstLineChars="250"/>
        <w:rPr>
          <w:color w:val="000000"/>
          <w:szCs w:val="21"/>
        </w:rPr>
      </w:pPr>
      <w:r>
        <w:rPr>
          <w:color w:val="000000"/>
          <w:szCs w:val="21"/>
        </w:rPr>
        <w:t>1</w:t>
      </w:r>
      <w:r>
        <w:rPr>
          <w:rFonts w:hint="eastAsia"/>
          <w:color w:val="000000"/>
          <w:szCs w:val="21"/>
          <w:lang w:eastAsia="zh-Hans"/>
        </w:rPr>
        <w:t>.</w:t>
      </w:r>
      <w:r>
        <w:rPr>
          <w:color w:val="000000"/>
          <w:szCs w:val="21"/>
          <w:lang w:eastAsia="zh-Hans"/>
        </w:rPr>
        <w:t xml:space="preserve"> </w:t>
      </w:r>
      <w:r>
        <w:rPr>
          <w:rFonts w:hint="eastAsia"/>
          <w:color w:val="000000"/>
          <w:szCs w:val="21"/>
        </w:rPr>
        <w:t xml:space="preserve"> </w:t>
      </w:r>
      <w:r>
        <w:rPr>
          <w:rFonts w:hint="eastAsia"/>
          <w:color w:val="000000"/>
          <w:szCs w:val="21"/>
          <w:lang w:eastAsia="zh-Hans"/>
        </w:rPr>
        <w:t>通过电子邮箱、微信、企业微信或乙方为甲方开通的系统等进行沟通，均视为书面送达。</w:t>
      </w:r>
    </w:p>
    <w:p>
      <w:pPr>
        <w:snapToGrid w:val="0"/>
        <w:spacing w:line="320" w:lineRule="exact"/>
        <w:ind w:firstLine="525" w:firstLineChars="250"/>
        <w:rPr>
          <w:color w:val="000000"/>
          <w:szCs w:val="21"/>
        </w:rPr>
      </w:pPr>
      <w:r>
        <w:rPr>
          <w:color w:val="000000"/>
          <w:szCs w:val="21"/>
          <w:lang w:eastAsia="zh-Hans"/>
        </w:rPr>
        <w:t>2</w:t>
      </w:r>
      <w:r>
        <w:rPr>
          <w:rFonts w:hint="eastAsia"/>
          <w:color w:val="000000"/>
          <w:szCs w:val="21"/>
          <w:lang w:eastAsia="zh-Hans"/>
        </w:rPr>
        <w:t>.</w:t>
      </w:r>
      <w:r>
        <w:rPr>
          <w:rFonts w:hint="eastAsia"/>
          <w:color w:val="000000"/>
          <w:szCs w:val="21"/>
        </w:rPr>
        <w:t xml:space="preserve">  </w:t>
      </w:r>
      <w:r>
        <w:rPr>
          <w:rFonts w:hint="eastAsia"/>
          <w:color w:val="000000"/>
          <w:szCs w:val="21"/>
          <w:lang w:eastAsia="zh-Hans"/>
        </w:rPr>
        <w:t>若发生争议</w:t>
      </w:r>
      <w:r>
        <w:rPr>
          <w:color w:val="000000"/>
          <w:szCs w:val="21"/>
          <w:lang w:eastAsia="zh-Hans"/>
        </w:rPr>
        <w:t>，</w:t>
      </w:r>
      <w:r>
        <w:rPr>
          <w:rFonts w:hint="eastAsia"/>
          <w:color w:val="000000"/>
          <w:szCs w:val="21"/>
          <w:lang w:eastAsia="zh-Hans"/>
        </w:rPr>
        <w:t>一方向另一方发出的所有通知、文件往来以及与本合同有关的通知和要求等，送交至本合同文头各方的联系地址即为送达。一方变更地址、联系方式的，应自变更之日起3个工作日内以书面形式通知对方；否则由未按约通知一方承担由此而引起的相关责任及后果。</w:t>
      </w:r>
    </w:p>
    <w:p>
      <w:pPr>
        <w:snapToGrid w:val="0"/>
        <w:spacing w:line="320" w:lineRule="exact"/>
        <w:ind w:firstLine="630" w:firstLineChars="300"/>
        <w:rPr>
          <w:szCs w:val="21"/>
        </w:rPr>
      </w:pPr>
      <w:r>
        <w:rPr>
          <w:rFonts w:hint="eastAsia"/>
          <w:szCs w:val="21"/>
        </w:rPr>
        <w:t>3.  本合同壹式两份，甲方执壹份，乙方执壹份，具同等法律效力。自双方签字盖章之日起生效。</w:t>
      </w:r>
    </w:p>
    <w:p>
      <w:pPr>
        <w:snapToGrid w:val="0"/>
        <w:spacing w:line="320" w:lineRule="exact"/>
        <w:ind w:left="-10" w:leftChars="-5" w:firstLine="8" w:firstLineChars="4"/>
        <w:rPr>
          <w:b/>
          <w:szCs w:val="21"/>
        </w:rPr>
      </w:pPr>
      <w:r>
        <w:rPr>
          <w:rFonts w:hint="eastAsia"/>
          <w:szCs w:val="21"/>
        </w:rPr>
        <w:t>（以下无正文）</w:t>
      </w:r>
    </w:p>
    <w:p>
      <w:pPr>
        <w:spacing w:line="340" w:lineRule="atLeast"/>
        <w:jc w:val="left"/>
        <w:rPr>
          <w:b/>
          <w:szCs w:val="21"/>
        </w:rPr>
      </w:pPr>
      <w:r>
        <w:rPr>
          <w:rFonts w:hint="eastAsia"/>
          <w:b/>
          <w:szCs w:val="21"/>
        </w:rPr>
        <mc:AlternateContent>
          <mc:Choice Requires="wps">
            <w:drawing>
              <wp:anchor distT="0" distB="0" distL="114300" distR="114300" simplePos="0" relativeHeight="251660288" behindDoc="0" locked="0" layoutInCell="1" allowOverlap="1">
                <wp:simplePos x="0" y="0"/>
                <wp:positionH relativeFrom="column">
                  <wp:posOffset>3173095</wp:posOffset>
                </wp:positionH>
                <wp:positionV relativeFrom="paragraph">
                  <wp:posOffset>180975</wp:posOffset>
                </wp:positionV>
                <wp:extent cx="3162300" cy="266700"/>
                <wp:effectExtent l="0" t="0" r="0" b="0"/>
                <wp:wrapNone/>
                <wp:docPr id="1001" name="文本框 2"/>
                <wp:cNvGraphicFramePr/>
                <a:graphic xmlns:a="http://schemas.openxmlformats.org/drawingml/2006/main">
                  <a:graphicData uri="http://schemas.microsoft.com/office/word/2010/wordprocessingShape">
                    <wps:wsp>
                      <wps:cNvSpPr txBox="1"/>
                      <wps:spPr>
                        <a:xfrm>
                          <a:off x="0" y="0"/>
                          <a:ext cx="3162300" cy="266700"/>
                        </a:xfrm>
                        <a:prstGeom prst="rect">
                          <a:avLst/>
                        </a:prstGeom>
                        <a:solidFill>
                          <a:schemeClr val="lt1"/>
                        </a:solidFill>
                        <a:ln w="6350">
                          <a:noFill/>
                        </a:ln>
                      </wps:spPr>
                      <wps:txbx>
                        <w:txbxContent>
                          <w:p>
                            <w:r>
                              <w:rPr>
                                <w:rFonts w:hint="eastAsia"/>
                                <w:b/>
                                <w:szCs w:val="21"/>
                              </w:rPr>
                              <w:t>乙方（盖章）： 高维信息技术（深圳）有限公司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249.85pt;margin-top:14.25pt;height:21pt;width:249pt;z-index:251660288;mso-width-relative:page;mso-height-relative:page;" fillcolor="#FFFFFF [3201]" filled="t" stroked="f" coordsize="21600,21600" o:gfxdata="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z8bxNQAAAAJAQAADwAAAAAA&#10;AAABACAAAAAiAAAAZHJzL2Rvd25yZXYueG1sUEsBAhQAFAAAAAgAh07iQOzLWKRQAgAAkgQAAA4A&#10;AAAAAAAAAQAgAAAAIwEAAGRycy9lMm9Eb2MueG1sUEsFBgAAAAAGAAYAWQEAAOUFAAAAAA==&#10;">
                <v:fill on="t" focussize="0,0"/>
                <v:stroke on="f" weight="0.5pt"/>
                <v:imagedata o:title=""/>
                <o:lock v:ext="edit" aspectratio="f"/>
                <v:textbox>
                  <w:txbxContent>
                    <w:p>
                      <w:r>
                        <w:rPr>
                          <w:rFonts w:hint="eastAsia"/>
                          <w:b/>
                          <w:szCs w:val="21"/>
                        </w:rPr>
                        <w:t>乙方（盖章）： 高维信息技术（深圳）有限公司</w:t>
                      </w:r>
                    </w:p>
                  </w:txbxContent>
                </v:textbox>
              </v:shape>
            </w:pict>
          </mc:Fallback>
        </mc:AlternateContent>
      </w:r>
    </w:p>
    <w:p>
      <w:pPr>
        <w:spacing w:line="340" w:lineRule="atLeast"/>
        <w:jc w:val="left"/>
        <w:rPr>
          <w:b/>
          <w:szCs w:val="21"/>
        </w:rPr>
      </w:pPr>
      <w:r>
        <w:rPr>
          <w:rFonts w:hint="eastAsia"/>
          <w:b/>
          <w:szCs w:val="21"/>
        </w:rPr>
        <w:t>甲方（盖章）：</w:t>
      </w:r>
      <w:r>
        <w:rPr>
          <w:b/>
          <w:szCs w:val="21"/>
        </w:rPr>
        <w:t>无锡英臻科技有限公司</w:t>
      </w:r>
      <w:r>
        <w:rPr>
          <w:rFonts w:hint="eastAsia"/>
          <w:b/>
          <w:szCs w:val="21"/>
        </w:rPr>
        <w:t xml:space="preserve">  </w:t>
      </w:r>
      <w:r>
        <w:rPr>
          <w:b/>
          <w:szCs w:val="21"/>
        </w:rPr>
        <w:t xml:space="preserve"> </w:t>
      </w:r>
    </w:p>
    <w:p>
      <w:pPr>
        <w:snapToGrid w:val="0"/>
        <w:spacing w:before="312" w:beforeLines="100" w:after="156" w:afterLines="50" w:line="480" w:lineRule="auto"/>
        <w:ind w:left="-10" w:leftChars="-5" w:firstLine="8" w:firstLineChars="4"/>
        <w:rPr>
          <w:b/>
          <w:szCs w:val="21"/>
        </w:rPr>
      </w:pPr>
      <w:r>
        <w:rPr>
          <w:rFonts w:hint="eastAsia"/>
          <w:b/>
          <w:szCs w:val="21"/>
        </w:rPr>
        <w:t>代 表 人：</w:t>
      </w:r>
      <w:r>
        <w:rPr>
          <w:rFonts w:hint="eastAsia"/>
          <w:szCs w:val="21"/>
        </w:rPr>
        <w:t xml:space="preserve">                                       </w:t>
      </w:r>
      <w:r>
        <w:rPr>
          <w:rFonts w:hint="eastAsia"/>
          <w:b/>
          <w:szCs w:val="21"/>
        </w:rPr>
        <w:t xml:space="preserve">授权代表： </w:t>
      </w:r>
      <w:r>
        <w:rPr>
          <w:b/>
          <w:szCs w:val="21"/>
        </w:rPr>
        <w:t>任杰欣</w:t>
      </w:r>
    </w:p>
    <w:p>
      <w:pPr>
        <w:snapToGrid w:val="0"/>
        <w:spacing w:before="156" w:beforeLines="50" w:after="156" w:afterLines="50" w:line="480" w:lineRule="auto"/>
        <w:ind w:left="-10" w:leftChars="-5" w:firstLine="8" w:firstLineChars="4"/>
        <w:rPr>
          <w:b/>
          <w:szCs w:val="21"/>
        </w:rPr>
      </w:pPr>
      <w:r>
        <w:rPr>
          <w:rFonts w:hint="eastAsia"/>
          <w:b/>
          <w:szCs w:val="21"/>
        </w:rPr>
        <w:t>签约时间：</w:t>
      </w:r>
      <w:r>
        <w:rPr>
          <w:rFonts w:hint="eastAsia"/>
          <w:szCs w:val="21"/>
        </w:rPr>
        <w:t xml:space="preserve">                                       </w:t>
      </w:r>
      <w:r>
        <w:rPr>
          <w:rFonts w:hint="eastAsia"/>
          <w:b/>
          <w:szCs w:val="21"/>
        </w:rPr>
        <w:t>签约时间：</w:t>
      </w:r>
      <w:r>
        <w:rPr>
          <w:b/>
          <w:szCs w:val="21"/>
        </w:rPr>
        <w:t>2023-10-13</w:t>
      </w:r>
    </w:p>
    <w:sectPr>
      <w:headerReference r:id="rId3" w:type="default"/>
      <w:footerReference r:id="rId4" w:type="default"/>
      <w:pgSz w:w="11906" w:h="16838"/>
      <w:pgMar w:top="1091" w:right="907" w:bottom="907" w:left="907" w:header="468" w:footer="45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仿宋_GB2312">
    <w:altName w:val="仿宋"/>
    <w:panose1 w:val="00000000000000000000"/>
    <w:charset w:val="00"/>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1"/>
      </w:pBdr>
      <w:spacing w:line="400" w:lineRule="exact"/>
      <w:jc w:val="center"/>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ascii="宋体" w:hAnsi="宋体"/>
        <w:b/>
        <w:color w:val="1F497D"/>
        <w:sz w:val="28"/>
        <w:szCs w:val="28"/>
      </w:rPr>
    </w:pPr>
    <w:r>
      <w:rPr>
        <w:rFonts w:hint="eastAsia"/>
      </w:rPr>
      <w:drawing>
        <wp:anchor distT="0" distB="0" distL="114300" distR="114300" simplePos="0" relativeHeight="251659264" behindDoc="1" locked="0" layoutInCell="1" allowOverlap="1">
          <wp:simplePos x="0" y="0"/>
          <wp:positionH relativeFrom="column">
            <wp:posOffset>5322570</wp:posOffset>
          </wp:positionH>
          <wp:positionV relativeFrom="paragraph">
            <wp:posOffset>-142875</wp:posOffset>
          </wp:positionV>
          <wp:extent cx="979170" cy="600075"/>
          <wp:effectExtent l="0" t="0" r="0" b="0"/>
          <wp:wrapNone/>
          <wp:docPr id="1" name="图片 1"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高维学堂\高维物料存档\2020年物料\logo\04 带slogan 各颜色版本\蓝色.png蓝色"/>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9170" cy="600075"/>
                  </a:xfrm>
                  <a:prstGeom prst="rect">
                    <a:avLst/>
                  </a:prstGeom>
                  <a:noFill/>
                  <a:ln>
                    <a:noFill/>
                  </a:ln>
                  <a:effectLst/>
                </pic:spPr>
              </pic:pic>
            </a:graphicData>
          </a:graphic>
        </wp:anchor>
      </w:drawing>
    </w:r>
    <w:r>
      <w:rPr>
        <w:rFonts w:hint="eastAsia"/>
      </w:rPr>
      <w:t xml:space="preserve">                                                                                                </w:t>
    </w:r>
    <w:r>
      <w:rPr>
        <w:rFonts w:hint="eastAsia" w:ascii="宋体" w:hAnsi="宋体" w:cs="宋体"/>
        <w:kern w:val="0"/>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770F3"/>
    <w:multiLevelType w:val="singleLevel"/>
    <w:tmpl w:val="83C770F3"/>
    <w:lvl w:ilvl="0" w:tentative="0">
      <w:start w:val="1"/>
      <w:numFmt w:val="decimal"/>
      <w:suff w:val="space"/>
      <w:lvlText w:val="%1."/>
      <w:lvlJc w:val="left"/>
    </w:lvl>
  </w:abstractNum>
  <w:abstractNum w:abstractNumId="1">
    <w:nsid w:val="B66E7681"/>
    <w:multiLevelType w:val="singleLevel"/>
    <w:tmpl w:val="B66E7681"/>
    <w:lvl w:ilvl="0" w:tentative="0">
      <w:start w:val="1"/>
      <w:numFmt w:val="decimal"/>
      <w:suff w:val="space"/>
      <w:lvlText w:val="%1．"/>
      <w:lvlJc w:val="left"/>
    </w:lvl>
  </w:abstractNum>
  <w:abstractNum w:abstractNumId="2">
    <w:nsid w:val="221D6125"/>
    <w:multiLevelType w:val="multilevel"/>
    <w:tmpl w:val="221D6125"/>
    <w:lvl w:ilvl="0" w:tentative="0">
      <w:start w:val="1"/>
      <w:numFmt w:val="lowerLetter"/>
      <w:lvlText w:val="%1、"/>
      <w:lvlJc w:val="left"/>
      <w:pPr>
        <w:tabs>
          <w:tab w:val="left" w:pos="1352"/>
        </w:tabs>
        <w:ind w:left="1352" w:hanging="420"/>
      </w:pPr>
      <w:rPr>
        <w:rFonts w:hint="eastAsia"/>
      </w:rPr>
    </w:lvl>
    <w:lvl w:ilvl="1" w:tentative="0">
      <w:start w:val="1"/>
      <w:numFmt w:val="lowerLetter"/>
      <w:lvlText w:val="%2、"/>
      <w:lvlJc w:val="left"/>
      <w:pPr>
        <w:tabs>
          <w:tab w:val="left" w:pos="916"/>
        </w:tabs>
        <w:ind w:left="916" w:firstLine="0"/>
      </w:pPr>
      <w:rPr>
        <w:rFonts w:hint="default"/>
      </w:rPr>
    </w:lvl>
    <w:lvl w:ilvl="2" w:tentative="0">
      <w:start w:val="1"/>
      <w:numFmt w:val="lowerLetter"/>
      <w:pStyle w:val="31"/>
      <w:lvlText w:val="%3、"/>
      <w:lvlJc w:val="right"/>
      <w:pPr>
        <w:tabs>
          <w:tab w:val="left" w:pos="528"/>
        </w:tabs>
        <w:ind w:left="528" w:firstLine="284"/>
      </w:pPr>
      <w:rPr>
        <w:rFonts w:hint="default"/>
        <w:b w:val="0"/>
        <w:i w:val="0"/>
      </w:rPr>
    </w:lvl>
    <w:lvl w:ilvl="3" w:tentative="0">
      <w:start w:val="1"/>
      <w:numFmt w:val="lowerLetter"/>
      <w:lvlText w:val="%4、"/>
      <w:lvlJc w:val="left"/>
      <w:pPr>
        <w:tabs>
          <w:tab w:val="left" w:pos="872"/>
        </w:tabs>
        <w:ind w:left="872" w:firstLine="0"/>
      </w:pPr>
      <w:rPr>
        <w:rFonts w:hint="default"/>
      </w:rPr>
    </w:lvl>
    <w:lvl w:ilvl="4" w:tentative="0">
      <w:start w:val="1"/>
      <w:numFmt w:val="lowerLetter"/>
      <w:lvlText w:val="%5)"/>
      <w:lvlJc w:val="left"/>
      <w:pPr>
        <w:tabs>
          <w:tab w:val="left" w:pos="2612"/>
        </w:tabs>
        <w:ind w:left="2612" w:hanging="420"/>
      </w:pPr>
    </w:lvl>
    <w:lvl w:ilvl="5" w:tentative="0">
      <w:start w:val="1"/>
      <w:numFmt w:val="lowerRoman"/>
      <w:lvlText w:val="%6."/>
      <w:lvlJc w:val="right"/>
      <w:pPr>
        <w:tabs>
          <w:tab w:val="left" w:pos="3032"/>
        </w:tabs>
        <w:ind w:left="3032" w:hanging="420"/>
      </w:pPr>
    </w:lvl>
    <w:lvl w:ilvl="6" w:tentative="0">
      <w:start w:val="1"/>
      <w:numFmt w:val="decimal"/>
      <w:lvlText w:val="%7."/>
      <w:lvlJc w:val="left"/>
      <w:pPr>
        <w:tabs>
          <w:tab w:val="left" w:pos="3452"/>
        </w:tabs>
        <w:ind w:left="3452" w:hanging="420"/>
      </w:pPr>
    </w:lvl>
    <w:lvl w:ilvl="7" w:tentative="0">
      <w:start w:val="1"/>
      <w:numFmt w:val="lowerLetter"/>
      <w:lvlText w:val="%8)"/>
      <w:lvlJc w:val="left"/>
      <w:pPr>
        <w:tabs>
          <w:tab w:val="left" w:pos="3872"/>
        </w:tabs>
        <w:ind w:left="3872" w:hanging="420"/>
      </w:pPr>
    </w:lvl>
    <w:lvl w:ilvl="8" w:tentative="0">
      <w:start w:val="1"/>
      <w:numFmt w:val="lowerRoman"/>
      <w:lvlText w:val="%9."/>
      <w:lvlJc w:val="right"/>
      <w:pPr>
        <w:tabs>
          <w:tab w:val="left" w:pos="4292"/>
        </w:tabs>
        <w:ind w:left="4292" w:hanging="420"/>
      </w:pPr>
    </w:lvl>
  </w:abstractNum>
  <w:abstractNum w:abstractNumId="3">
    <w:nsid w:val="3C5309B6"/>
    <w:multiLevelType w:val="multilevel"/>
    <w:tmpl w:val="3C5309B6"/>
    <w:lvl w:ilvl="0" w:tentative="0">
      <w:start w:val="1"/>
      <w:numFmt w:val="decimal"/>
      <w:pStyle w:val="29"/>
      <w:lvlText w:val="%1."/>
      <w:lvlJc w:val="left"/>
      <w:pPr>
        <w:tabs>
          <w:tab w:val="left" w:pos="840"/>
        </w:tabs>
        <w:ind w:left="84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01F2E01"/>
    <w:multiLevelType w:val="multilevel"/>
    <w:tmpl w:val="401F2E01"/>
    <w:lvl w:ilvl="0" w:tentative="0">
      <w:start w:val="1"/>
      <w:numFmt w:val="upperRoman"/>
      <w:lvlText w:val="%1."/>
      <w:lvlJc w:val="left"/>
      <w:pPr>
        <w:tabs>
          <w:tab w:val="left" w:pos="420"/>
        </w:tabs>
        <w:ind w:left="420" w:hanging="420"/>
      </w:pPr>
    </w:lvl>
    <w:lvl w:ilvl="1" w:tentative="0">
      <w:start w:val="6"/>
      <w:numFmt w:val="japaneseCounting"/>
      <w:lvlText w:val="%2、"/>
      <w:lvlJc w:val="left"/>
      <w:pPr>
        <w:tabs>
          <w:tab w:val="left" w:pos="900"/>
        </w:tabs>
        <w:ind w:left="900" w:hanging="480"/>
      </w:pPr>
      <w:rPr>
        <w:rFonts w:hint="eastAsia"/>
      </w:rPr>
    </w:lvl>
    <w:lvl w:ilvl="2" w:tentative="0">
      <w:start w:val="1"/>
      <w:numFmt w:val="decimal"/>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5C2752C"/>
    <w:multiLevelType w:val="multilevel"/>
    <w:tmpl w:val="45C2752C"/>
    <w:lvl w:ilvl="0" w:tentative="0">
      <w:start w:val="1"/>
      <w:numFmt w:val="bullet"/>
      <w:lvlText w:val=""/>
      <w:lvlJc w:val="left"/>
      <w:pPr>
        <w:tabs>
          <w:tab w:val="left" w:pos="870"/>
        </w:tabs>
        <w:ind w:left="87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AF31AE7"/>
    <w:multiLevelType w:val="multilevel"/>
    <w:tmpl w:val="4AF31AE7"/>
    <w:lvl w:ilvl="0" w:tentative="0">
      <w:start w:val="1"/>
      <w:numFmt w:val="bullet"/>
      <w:lvlText w:val=""/>
      <w:lvlJc w:val="left"/>
      <w:pPr>
        <w:tabs>
          <w:tab w:val="left" w:pos="1262"/>
        </w:tabs>
        <w:ind w:left="1262" w:hanging="420"/>
      </w:pPr>
      <w:rPr>
        <w:rFonts w:hint="default" w:ascii="Wingdings" w:hAnsi="Wingdings"/>
      </w:rPr>
    </w:lvl>
    <w:lvl w:ilvl="1" w:tentative="0">
      <w:start w:val="1"/>
      <w:numFmt w:val="lowerRoman"/>
      <w:lvlText w:val="%2."/>
      <w:lvlJc w:val="right"/>
      <w:pPr>
        <w:tabs>
          <w:tab w:val="left" w:pos="1720"/>
        </w:tabs>
        <w:ind w:left="1720" w:hanging="420"/>
      </w:pPr>
      <w:rPr>
        <w:rFonts w:hint="eastAsia"/>
      </w:rPr>
    </w:lvl>
    <w:lvl w:ilvl="2" w:tentative="0">
      <w:start w:val="1"/>
      <w:numFmt w:val="bullet"/>
      <w:lvlText w:val=""/>
      <w:lvlJc w:val="left"/>
      <w:pPr>
        <w:tabs>
          <w:tab w:val="left" w:pos="2140"/>
        </w:tabs>
        <w:ind w:left="2140" w:hanging="420"/>
      </w:pPr>
      <w:rPr>
        <w:rFonts w:hint="default" w:ascii="Wingdings" w:hAnsi="Wingdings"/>
      </w:rPr>
    </w:lvl>
    <w:lvl w:ilvl="3" w:tentative="0">
      <w:start w:val="1"/>
      <w:numFmt w:val="bullet"/>
      <w:lvlText w:val=""/>
      <w:lvlJc w:val="left"/>
      <w:pPr>
        <w:tabs>
          <w:tab w:val="left" w:pos="2560"/>
        </w:tabs>
        <w:ind w:left="2560" w:hanging="420"/>
      </w:pPr>
      <w:rPr>
        <w:rFonts w:hint="default" w:ascii="Wingdings" w:hAnsi="Wingdings"/>
      </w:rPr>
    </w:lvl>
    <w:lvl w:ilvl="4" w:tentative="0">
      <w:start w:val="1"/>
      <w:numFmt w:val="bullet"/>
      <w:lvlText w:val=""/>
      <w:lvlJc w:val="left"/>
      <w:pPr>
        <w:tabs>
          <w:tab w:val="left" w:pos="2980"/>
        </w:tabs>
        <w:ind w:left="2980" w:hanging="420"/>
      </w:pPr>
      <w:rPr>
        <w:rFonts w:hint="default" w:ascii="Wingdings" w:hAnsi="Wingdings"/>
      </w:rPr>
    </w:lvl>
    <w:lvl w:ilvl="5" w:tentative="0">
      <w:start w:val="1"/>
      <w:numFmt w:val="bullet"/>
      <w:lvlText w:val=""/>
      <w:lvlJc w:val="left"/>
      <w:pPr>
        <w:tabs>
          <w:tab w:val="left" w:pos="3400"/>
        </w:tabs>
        <w:ind w:left="3400" w:hanging="420"/>
      </w:pPr>
      <w:rPr>
        <w:rFonts w:hint="default" w:ascii="Wingdings" w:hAnsi="Wingdings"/>
      </w:rPr>
    </w:lvl>
    <w:lvl w:ilvl="6" w:tentative="0">
      <w:start w:val="1"/>
      <w:numFmt w:val="bullet"/>
      <w:lvlText w:val=""/>
      <w:lvlJc w:val="left"/>
      <w:pPr>
        <w:tabs>
          <w:tab w:val="left" w:pos="3820"/>
        </w:tabs>
        <w:ind w:left="3820" w:hanging="420"/>
      </w:pPr>
      <w:rPr>
        <w:rFonts w:hint="default" w:ascii="Wingdings" w:hAnsi="Wingdings"/>
      </w:rPr>
    </w:lvl>
    <w:lvl w:ilvl="7" w:tentative="0">
      <w:start w:val="1"/>
      <w:numFmt w:val="bullet"/>
      <w:lvlText w:val=""/>
      <w:lvlJc w:val="left"/>
      <w:pPr>
        <w:tabs>
          <w:tab w:val="left" w:pos="4240"/>
        </w:tabs>
        <w:ind w:left="4240" w:hanging="420"/>
      </w:pPr>
      <w:rPr>
        <w:rFonts w:hint="default" w:ascii="Wingdings" w:hAnsi="Wingdings"/>
      </w:rPr>
    </w:lvl>
    <w:lvl w:ilvl="8" w:tentative="0">
      <w:start w:val="1"/>
      <w:numFmt w:val="bullet"/>
      <w:lvlText w:val=""/>
      <w:lvlJc w:val="left"/>
      <w:pPr>
        <w:tabs>
          <w:tab w:val="left" w:pos="4660"/>
        </w:tabs>
        <w:ind w:left="4660" w:hanging="420"/>
      </w:pPr>
      <w:rPr>
        <w:rFonts w:hint="default" w:ascii="Wingdings" w:hAnsi="Wingdings"/>
      </w:rPr>
    </w:lvl>
  </w:abstractNum>
  <w:abstractNum w:abstractNumId="7">
    <w:nsid w:val="533A15D5"/>
    <w:multiLevelType w:val="multilevel"/>
    <w:tmpl w:val="533A15D5"/>
    <w:lvl w:ilvl="0" w:tentative="0">
      <w:start w:val="1"/>
      <w:numFmt w:val="japaneseCounting"/>
      <w:lvlText w:val="%1、"/>
      <w:lvlJc w:val="left"/>
      <w:pPr>
        <w:tabs>
          <w:tab w:val="left" w:pos="600"/>
        </w:tabs>
        <w:ind w:left="600" w:hanging="480"/>
      </w:pPr>
      <w:rPr>
        <w:rFonts w:hint="default"/>
      </w:rPr>
    </w:lvl>
    <w:lvl w:ilvl="1" w:tentative="0">
      <w:start w:val="1"/>
      <w:numFmt w:val="decimal"/>
      <w:lvlText w:val="%2．"/>
      <w:lvlJc w:val="left"/>
      <w:pPr>
        <w:tabs>
          <w:tab w:val="left" w:pos="900"/>
        </w:tabs>
        <w:ind w:left="90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D7109AA"/>
    <w:multiLevelType w:val="multilevel"/>
    <w:tmpl w:val="5D7109AA"/>
    <w:lvl w:ilvl="0" w:tentative="0">
      <w:start w:val="1"/>
      <w:numFmt w:val="bullet"/>
      <w:lvlText w:val=""/>
      <w:lvlJc w:val="left"/>
      <w:pPr>
        <w:tabs>
          <w:tab w:val="left" w:pos="870"/>
        </w:tabs>
        <w:ind w:left="87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23B4FF0"/>
    <w:multiLevelType w:val="singleLevel"/>
    <w:tmpl w:val="623B4FF0"/>
    <w:lvl w:ilvl="0" w:tentative="0">
      <w:start w:val="9"/>
      <w:numFmt w:val="chineseCounting"/>
      <w:suff w:val="nothing"/>
      <w:lvlText w:val="%1、"/>
      <w:lvlJc w:val="left"/>
    </w:lvl>
  </w:abstractNum>
  <w:abstractNum w:abstractNumId="10">
    <w:nsid w:val="7CC0368B"/>
    <w:multiLevelType w:val="multilevel"/>
    <w:tmpl w:val="7CC0368B"/>
    <w:lvl w:ilvl="0" w:tentative="0">
      <w:start w:val="1"/>
      <w:numFmt w:val="chineseCountingThousand"/>
      <w:pStyle w:val="2"/>
      <w:suff w:val="nothing"/>
      <w:lvlText w:val="第%1章"/>
      <w:lvlJc w:val="left"/>
      <w:pPr>
        <w:ind w:left="0" w:firstLine="0"/>
      </w:pPr>
      <w:rPr>
        <w:rFonts w:hint="eastAsia"/>
      </w:rPr>
    </w:lvl>
    <w:lvl w:ilvl="1" w:tentative="0">
      <w:start w:val="1"/>
      <w:numFmt w:val="none"/>
      <w:pStyle w:val="3"/>
      <w:suff w:val="nothing"/>
      <w:lvlText w:val=""/>
      <w:lvlJc w:val="left"/>
      <w:pPr>
        <w:ind w:left="0" w:firstLine="0"/>
      </w:pPr>
      <w:rPr>
        <w:rFonts w:hint="eastAsia"/>
      </w:rPr>
    </w:lvl>
    <w:lvl w:ilvl="2" w:tentative="0">
      <w:start w:val="1"/>
      <w:numFmt w:val="none"/>
      <w:pStyle w:val="4"/>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0"/>
  </w:num>
  <w:num w:numId="2">
    <w:abstractNumId w:val="3"/>
  </w:num>
  <w:num w:numId="3">
    <w:abstractNumId w:val="2"/>
  </w:num>
  <w:num w:numId="4">
    <w:abstractNumId w:val="7"/>
  </w:num>
  <w:num w:numId="5">
    <w:abstractNumId w:val="3"/>
    <w:lvlOverride w:ilvl="0">
      <w:startOverride w:val="1"/>
    </w:lvlOverride>
  </w:num>
  <w:num w:numId="6">
    <w:abstractNumId w:val="6"/>
  </w:num>
  <w:num w:numId="7">
    <w:abstractNumId w:val="4"/>
  </w:num>
  <w:num w:numId="8">
    <w:abstractNumId w:val="1"/>
  </w:num>
  <w:num w:numId="9">
    <w:abstractNumId w:val="5"/>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VjNDk5YjUzY2MxZWE3ZTBjNWMzOWY5MGY2Nzg0NWEifQ=="/>
  </w:docVars>
  <w:rsids>
    <w:rsidRoot w:val="00172A27"/>
    <w:rsid w:val="00001893"/>
    <w:rsid w:val="00077334"/>
    <w:rsid w:val="000A0872"/>
    <w:rsid w:val="000B192A"/>
    <w:rsid w:val="000D3B33"/>
    <w:rsid w:val="001045BF"/>
    <w:rsid w:val="00113675"/>
    <w:rsid w:val="001631EA"/>
    <w:rsid w:val="00172A27"/>
    <w:rsid w:val="00183685"/>
    <w:rsid w:val="0019386E"/>
    <w:rsid w:val="001A5DB8"/>
    <w:rsid w:val="001F64BB"/>
    <w:rsid w:val="00203D6D"/>
    <w:rsid w:val="0022496A"/>
    <w:rsid w:val="00242C99"/>
    <w:rsid w:val="00267DE7"/>
    <w:rsid w:val="00287851"/>
    <w:rsid w:val="0034440D"/>
    <w:rsid w:val="00365CB9"/>
    <w:rsid w:val="00386BB7"/>
    <w:rsid w:val="003A5946"/>
    <w:rsid w:val="004008B0"/>
    <w:rsid w:val="0040467F"/>
    <w:rsid w:val="00436647"/>
    <w:rsid w:val="00446E0F"/>
    <w:rsid w:val="00480692"/>
    <w:rsid w:val="004815CE"/>
    <w:rsid w:val="00487D6C"/>
    <w:rsid w:val="004D341B"/>
    <w:rsid w:val="004F4E67"/>
    <w:rsid w:val="005361F5"/>
    <w:rsid w:val="00557380"/>
    <w:rsid w:val="00561181"/>
    <w:rsid w:val="0057181A"/>
    <w:rsid w:val="005920F7"/>
    <w:rsid w:val="005C1130"/>
    <w:rsid w:val="00630108"/>
    <w:rsid w:val="00644B02"/>
    <w:rsid w:val="00650F77"/>
    <w:rsid w:val="006617D8"/>
    <w:rsid w:val="006905F0"/>
    <w:rsid w:val="006A4D36"/>
    <w:rsid w:val="00733B74"/>
    <w:rsid w:val="007709B2"/>
    <w:rsid w:val="007C35AB"/>
    <w:rsid w:val="007F3925"/>
    <w:rsid w:val="00840895"/>
    <w:rsid w:val="00855A88"/>
    <w:rsid w:val="0089414E"/>
    <w:rsid w:val="008E4CF0"/>
    <w:rsid w:val="00986277"/>
    <w:rsid w:val="009C7C72"/>
    <w:rsid w:val="00A65F81"/>
    <w:rsid w:val="00AB4A84"/>
    <w:rsid w:val="00AB7074"/>
    <w:rsid w:val="00B150B5"/>
    <w:rsid w:val="00B67C37"/>
    <w:rsid w:val="00B85A14"/>
    <w:rsid w:val="00BA2592"/>
    <w:rsid w:val="00BD00C2"/>
    <w:rsid w:val="00BD43A8"/>
    <w:rsid w:val="00BE1713"/>
    <w:rsid w:val="00C473F5"/>
    <w:rsid w:val="00C51327"/>
    <w:rsid w:val="00C75ECF"/>
    <w:rsid w:val="00CC47B2"/>
    <w:rsid w:val="00CD283B"/>
    <w:rsid w:val="00CD6756"/>
    <w:rsid w:val="00CE6642"/>
    <w:rsid w:val="00D20C7C"/>
    <w:rsid w:val="00D474A0"/>
    <w:rsid w:val="00DB6400"/>
    <w:rsid w:val="00DE4CDD"/>
    <w:rsid w:val="00E0035D"/>
    <w:rsid w:val="00E513C7"/>
    <w:rsid w:val="00E8388B"/>
    <w:rsid w:val="00E90B57"/>
    <w:rsid w:val="00E91028"/>
    <w:rsid w:val="00EE1796"/>
    <w:rsid w:val="00EE2DB5"/>
    <w:rsid w:val="00EE3030"/>
    <w:rsid w:val="00F143CF"/>
    <w:rsid w:val="00F327D6"/>
    <w:rsid w:val="00F524E0"/>
    <w:rsid w:val="00F56C75"/>
    <w:rsid w:val="00FA72D5"/>
    <w:rsid w:val="11522B55"/>
    <w:rsid w:val="18F77DC5"/>
    <w:rsid w:val="1C2F4C4D"/>
    <w:rsid w:val="1F95570F"/>
    <w:rsid w:val="2AD93DEC"/>
    <w:rsid w:val="2F9B47C6"/>
    <w:rsid w:val="33197A21"/>
    <w:rsid w:val="34AE342D"/>
    <w:rsid w:val="36847E1F"/>
    <w:rsid w:val="44572E85"/>
    <w:rsid w:val="44F40E28"/>
    <w:rsid w:val="4AAC152E"/>
    <w:rsid w:val="54AA1441"/>
    <w:rsid w:val="557F5E06"/>
    <w:rsid w:val="682C160E"/>
    <w:rsid w:val="74A03A64"/>
    <w:rsid w:val="7FDA3C81"/>
    <w:rsid w:val="BBACB9CA"/>
    <w:rsid w:val="DFFA541F"/>
    <w:rsid w:val="F51BAE52"/>
    <w:rsid w:val="FC7FD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numPr>
        <w:ilvl w:val="0"/>
        <w:numId w:val="1"/>
      </w:numPr>
      <w:outlineLvl w:val="0"/>
    </w:pPr>
    <w:rPr>
      <w:sz w:val="28"/>
      <w:szCs w:val="36"/>
    </w:rPr>
  </w:style>
  <w:style w:type="paragraph" w:styleId="3">
    <w:name w:val="heading 2"/>
    <w:basedOn w:val="1"/>
    <w:next w:val="1"/>
    <w:qFormat/>
    <w:uiPriority w:val="0"/>
    <w:pPr>
      <w:keepNext/>
      <w:numPr>
        <w:ilvl w:val="1"/>
        <w:numId w:val="1"/>
      </w:numPr>
      <w:snapToGrid w:val="0"/>
      <w:spacing w:before="156" w:beforeLines="50"/>
      <w:jc w:val="left"/>
      <w:outlineLvl w:val="1"/>
    </w:pPr>
    <w:rPr>
      <w:b/>
      <w:bCs/>
      <w:sz w:val="32"/>
      <w:szCs w:val="32"/>
    </w:rPr>
  </w:style>
  <w:style w:type="paragraph" w:styleId="4">
    <w:name w:val="heading 3"/>
    <w:basedOn w:val="1"/>
    <w:next w:val="1"/>
    <w:qFormat/>
    <w:uiPriority w:val="0"/>
    <w:pPr>
      <w:keepNext/>
      <w:numPr>
        <w:ilvl w:val="2"/>
        <w:numId w:val="1"/>
      </w:numPr>
      <w:snapToGrid w:val="0"/>
      <w:spacing w:before="156" w:beforeLines="50"/>
      <w:jc w:val="left"/>
      <w:outlineLvl w:val="2"/>
    </w:pPr>
    <w:rPr>
      <w:b/>
      <w:bCs/>
      <w:sz w:val="28"/>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3"/>
    <w:qFormat/>
    <w:uiPriority w:val="0"/>
    <w:pPr>
      <w:jc w:val="left"/>
    </w:pPr>
  </w:style>
  <w:style w:type="paragraph" w:styleId="12">
    <w:name w:val="Body Text 3"/>
    <w:basedOn w:val="1"/>
    <w:qFormat/>
    <w:uiPriority w:val="0"/>
    <w:pPr>
      <w:snapToGrid w:val="0"/>
      <w:spacing w:line="240" w:lineRule="atLeast"/>
      <w:jc w:val="center"/>
    </w:pPr>
    <w:rPr>
      <w:rFonts w:eastAsia="隶书"/>
      <w:sz w:val="72"/>
    </w:rPr>
  </w:style>
  <w:style w:type="paragraph" w:styleId="13">
    <w:name w:val="Body Text Indent"/>
    <w:basedOn w:val="1"/>
    <w:qFormat/>
    <w:uiPriority w:val="0"/>
    <w:pPr>
      <w:snapToGrid w:val="0"/>
      <w:spacing w:line="340" w:lineRule="exact"/>
      <w:ind w:left="488"/>
    </w:pPr>
    <w:rPr>
      <w:szCs w:val="21"/>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7">
    <w:name w:val="annotation subject"/>
    <w:basedOn w:val="11"/>
    <w:next w:val="11"/>
    <w:link w:val="25"/>
    <w:qFormat/>
    <w:uiPriority w:val="0"/>
    <w:rPr>
      <w:b/>
      <w:bCs/>
    </w:rPr>
  </w:style>
  <w:style w:type="character" w:styleId="20">
    <w:name w:val="Emphasis"/>
    <w:qFormat/>
    <w:uiPriority w:val="0"/>
    <w:rPr>
      <w:color w:val="CC0000"/>
    </w:rPr>
  </w:style>
  <w:style w:type="character" w:styleId="21">
    <w:name w:val="Hyperlink"/>
    <w:qFormat/>
    <w:uiPriority w:val="0"/>
    <w:rPr>
      <w:color w:val="0000FF"/>
      <w:u w:val="single"/>
    </w:rPr>
  </w:style>
  <w:style w:type="character" w:styleId="22">
    <w:name w:val="annotation reference"/>
    <w:qFormat/>
    <w:uiPriority w:val="0"/>
    <w:rPr>
      <w:sz w:val="21"/>
      <w:szCs w:val="21"/>
    </w:rPr>
  </w:style>
  <w:style w:type="character" w:customStyle="1" w:styleId="23">
    <w:name w:val="批注文字 字符"/>
    <w:link w:val="11"/>
    <w:qFormat/>
    <w:uiPriority w:val="0"/>
    <w:rPr>
      <w:kern w:val="2"/>
      <w:sz w:val="21"/>
      <w:szCs w:val="24"/>
    </w:rPr>
  </w:style>
  <w:style w:type="character" w:customStyle="1" w:styleId="24">
    <w:name w:val="页眉 字符"/>
    <w:link w:val="16"/>
    <w:qFormat/>
    <w:uiPriority w:val="0"/>
    <w:rPr>
      <w:kern w:val="2"/>
      <w:sz w:val="18"/>
      <w:szCs w:val="18"/>
    </w:rPr>
  </w:style>
  <w:style w:type="character" w:customStyle="1" w:styleId="25">
    <w:name w:val="批注主题 字符"/>
    <w:link w:val="17"/>
    <w:qFormat/>
    <w:uiPriority w:val="0"/>
    <w:rPr>
      <w:b/>
      <w:bCs/>
      <w:kern w:val="2"/>
      <w:sz w:val="21"/>
      <w:szCs w:val="24"/>
    </w:rPr>
  </w:style>
  <w:style w:type="character" w:customStyle="1" w:styleId="26">
    <w:name w:val="style31"/>
    <w:qFormat/>
    <w:uiPriority w:val="0"/>
    <w:rPr>
      <w:color w:val="000000"/>
      <w:sz w:val="18"/>
      <w:szCs w:val="18"/>
    </w:rPr>
  </w:style>
  <w:style w:type="character" w:customStyle="1" w:styleId="27">
    <w:name w:val="lemmatitleh1"/>
    <w:basedOn w:val="19"/>
    <w:qFormat/>
    <w:uiPriority w:val="0"/>
  </w:style>
  <w:style w:type="paragraph" w:customStyle="1" w:styleId="28">
    <w:name w:val="Char Char Char Char Char Char"/>
    <w:basedOn w:val="1"/>
    <w:qFormat/>
    <w:uiPriority w:val="0"/>
    <w:pPr>
      <w:widowControl/>
      <w:suppressAutoHyphens/>
      <w:spacing w:after="160" w:line="240" w:lineRule="exact"/>
      <w:jc w:val="left"/>
    </w:pPr>
    <w:rPr>
      <w:rFonts w:ascii="Arial" w:hAnsi="Arial" w:eastAsia="Times New Roman" w:cs="Verdana"/>
      <w:b/>
      <w:kern w:val="0"/>
      <w:sz w:val="24"/>
      <w:szCs w:val="20"/>
      <w:lang w:eastAsia="en-US"/>
    </w:rPr>
  </w:style>
  <w:style w:type="paragraph" w:customStyle="1" w:styleId="29">
    <w:name w:val="样式1"/>
    <w:basedOn w:val="1"/>
    <w:qFormat/>
    <w:uiPriority w:val="0"/>
    <w:pPr>
      <w:numPr>
        <w:ilvl w:val="0"/>
        <w:numId w:val="2"/>
      </w:numPr>
    </w:pPr>
  </w:style>
  <w:style w:type="paragraph" w:customStyle="1" w:styleId="30">
    <w:name w:val="Char"/>
    <w:basedOn w:val="1"/>
    <w:qFormat/>
    <w:uiPriority w:val="0"/>
    <w:pPr>
      <w:widowControl/>
      <w:spacing w:before="100" w:beforeAutospacing="1" w:after="100" w:afterAutospacing="1" w:line="360" w:lineRule="auto"/>
      <w:ind w:left="360" w:firstLine="624"/>
      <w:jc w:val="left"/>
    </w:pPr>
    <w:rPr>
      <w:rFonts w:ascii="ˎ̥" w:hAnsi="ˎ̥" w:eastAsia="仿宋_GB2312" w:cs="宋体"/>
      <w:color w:val="51585D"/>
      <w:kern w:val="0"/>
      <w:sz w:val="32"/>
      <w:szCs w:val="18"/>
    </w:rPr>
  </w:style>
  <w:style w:type="paragraph" w:customStyle="1" w:styleId="31">
    <w:name w:val="内容"/>
    <w:basedOn w:val="1"/>
    <w:qFormat/>
    <w:uiPriority w:val="0"/>
    <w:pPr>
      <w:numPr>
        <w:ilvl w:val="2"/>
        <w:numId w:val="3"/>
      </w:numPr>
    </w:pPr>
  </w:style>
  <w:style w:type="paragraph" w:customStyle="1" w:styleId="32">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481</Words>
  <Characters>2745</Characters>
  <Lines>22</Lines>
  <Paragraphs>6</Paragraphs>
  <TotalTime>1</TotalTime>
  <ScaleCrop>false</ScaleCrop>
  <LinksUpToDate>false</LinksUpToDate>
  <CharactersWithSpaces>3220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2022-10-21T12:59:00Z</dcterms:created>
  <dc:creator>陶泽政</dc:creator>
  <cp:lastModifiedBy>丢丢</cp:lastModifiedBy>
  <cp:lastPrinted>2013-10-10T07:19:00Z</cp:lastPrinted>
  <dcterms:modified xsi:type="dcterms:W3CDTF">2023-10-13T09:52:29Z</dcterms:modified>
  <dc:title>深圳市博明企业管理咨询有限公司</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oiioBoundaries">
    <vt:bool>true</vt:bool>
  </property>
  <property fmtid="{D5CDD505-2E9C-101B-9397-08002B2CF9AE}" pid="4" name="ICV">
    <vt:lpwstr>7058CD6A30124B4EAC728D6CE2DAEFE2_13</vt:lpwstr>
  </property>
</Properties>
</file>