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202</w:t>
      </w:r>
      <w:r>
        <w:rPr>
          <w:rFonts w:hint="eastAsia" w:ascii="宋体" w:hAnsi="宋体" w:cs="宋体"/>
          <w:b/>
          <w:bCs/>
          <w:sz w:val="32"/>
          <w:szCs w:val="32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年</w:t>
      </w:r>
      <w:r>
        <w:rPr>
          <w:rFonts w:hint="eastAsia" w:ascii="宋体" w:hAnsi="宋体" w:cs="宋体"/>
          <w:b/>
          <w:bCs/>
          <w:sz w:val="32"/>
          <w:szCs w:val="32"/>
          <w:lang w:val="en-US" w:eastAsia="zh-CN"/>
        </w:rPr>
        <w:t>二季度</w:t>
      </w: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财务情况说明书</w:t>
      </w:r>
    </w:p>
    <w:p>
      <w:pPr>
        <w:ind w:firstLine="560" w:firstLineChars="200"/>
        <w:jc w:val="both"/>
        <w:rPr>
          <w:rFonts w:hint="eastAsia" w:ascii="宋体" w:hAnsi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highlight w:val="none"/>
          <w:lang w:val="en-US" w:eastAsia="zh-CN"/>
        </w:rPr>
        <w:t>202</w:t>
      </w:r>
      <w:r>
        <w:rPr>
          <w:rFonts w:hint="eastAsia" w:ascii="宋体" w:hAnsi="宋体" w:cs="宋体"/>
          <w:sz w:val="28"/>
          <w:szCs w:val="28"/>
          <w:highlight w:val="none"/>
          <w:lang w:val="en-US" w:eastAsia="zh-CN"/>
        </w:rPr>
        <w:t>2</w:t>
      </w:r>
      <w:r>
        <w:rPr>
          <w:rFonts w:hint="eastAsia" w:ascii="宋体" w:hAnsi="宋体" w:eastAsia="宋体" w:cs="宋体"/>
          <w:sz w:val="28"/>
          <w:szCs w:val="28"/>
          <w:highlight w:val="none"/>
          <w:lang w:val="en-US" w:eastAsia="zh-CN"/>
        </w:rPr>
        <w:t>年</w:t>
      </w:r>
      <w:r>
        <w:rPr>
          <w:rFonts w:hint="eastAsia" w:ascii="宋体" w:hAnsi="宋体" w:cs="宋体"/>
          <w:sz w:val="28"/>
          <w:szCs w:val="28"/>
          <w:highlight w:val="none"/>
          <w:lang w:val="en-US" w:eastAsia="zh-CN"/>
        </w:rPr>
        <w:t>，米方格商业运营有限公司（莲湖）、西安米方格共享办公服务有限公司（高新）、西安米方格众创空间服务有限公司（碑林）、西安米方格商务办公服务有限公司（高二）四家公司共计运营了四个办公服务项目，分别为太和、正尚、珠江、汇豪，按收付实现制进行核算，现将第二季度经营情况说明如下</w:t>
      </w:r>
      <w:r>
        <w:rPr>
          <w:rFonts w:hint="eastAsia" w:ascii="宋体" w:hAnsi="宋体" w:cs="宋体"/>
          <w:sz w:val="28"/>
          <w:szCs w:val="28"/>
          <w:lang w:val="en-US" w:eastAsia="zh-CN"/>
        </w:rPr>
        <w:t>：</w:t>
      </w:r>
    </w:p>
    <w:p>
      <w:pPr>
        <w:numPr>
          <w:ilvl w:val="0"/>
          <w:numId w:val="1"/>
        </w:numPr>
        <w:ind w:left="-350" w:leftChars="0" w:firstLine="560" w:firstLineChars="0"/>
        <w:jc w:val="both"/>
        <w:rPr>
          <w:rFonts w:hint="eastAsia" w:ascii="宋体" w:hAnsi="宋体" w:cs="宋体"/>
          <w:sz w:val="28"/>
          <w:szCs w:val="28"/>
          <w:highlight w:val="none"/>
          <w:lang w:val="en-US" w:eastAsia="zh-CN"/>
        </w:rPr>
      </w:pPr>
      <w:r>
        <w:rPr>
          <w:rFonts w:hint="eastAsia" w:ascii="宋体" w:hAnsi="宋体" w:cs="宋体"/>
          <w:sz w:val="28"/>
          <w:szCs w:val="28"/>
          <w:highlight w:val="none"/>
          <w:lang w:val="en-US" w:eastAsia="zh-CN"/>
        </w:rPr>
        <w:t>营业收入18,350,788.69元：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4"/>
        <w:gridCol w:w="3807"/>
        <w:gridCol w:w="38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2" w:hRule="atLeast"/>
        </w:trPr>
        <w:tc>
          <w:tcPr>
            <w:tcW w:w="2284" w:type="dxa"/>
            <w:noWrap w:val="0"/>
            <w:vAlign w:val="center"/>
          </w:tcPr>
          <w:p>
            <w:pPr>
              <w:jc w:val="center"/>
              <w:rPr>
                <w:rFonts w:hint="default" w:ascii="宋体" w:hAnsi="宋体" w:cs="宋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  <w:highlight w:val="none"/>
                <w:vertAlign w:val="baseline"/>
                <w:lang w:val="en-US" w:eastAsia="zh-CN"/>
              </w:rPr>
              <w:t>项目</w:t>
            </w:r>
          </w:p>
        </w:tc>
        <w:tc>
          <w:tcPr>
            <w:tcW w:w="3807" w:type="dxa"/>
            <w:noWrap w:val="0"/>
            <w:vAlign w:val="center"/>
          </w:tcPr>
          <w:p>
            <w:pPr>
              <w:jc w:val="center"/>
              <w:rPr>
                <w:rFonts w:hint="default" w:ascii="宋体" w:hAnsi="宋体" w:cs="宋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  <w:highlight w:val="none"/>
                <w:vertAlign w:val="baseline"/>
                <w:lang w:val="en-US" w:eastAsia="zh-CN"/>
              </w:rPr>
              <w:t>2022年第二季度营业收入</w:t>
            </w:r>
          </w:p>
        </w:tc>
        <w:tc>
          <w:tcPr>
            <w:tcW w:w="3807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  <w:highlight w:val="none"/>
                <w:vertAlign w:val="baseline"/>
                <w:lang w:val="en-US" w:eastAsia="zh-CN"/>
              </w:rPr>
              <w:t>2021年第二季度营业收入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</w:trPr>
        <w:tc>
          <w:tcPr>
            <w:tcW w:w="2284" w:type="dxa"/>
            <w:noWrap w:val="0"/>
            <w:vAlign w:val="center"/>
          </w:tcPr>
          <w:p>
            <w:pPr>
              <w:jc w:val="center"/>
              <w:rPr>
                <w:rFonts w:hint="default" w:ascii="宋体" w:hAnsi="宋体" w:cs="宋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  <w:highlight w:val="none"/>
                <w:vertAlign w:val="baseline"/>
                <w:lang w:val="en-US" w:eastAsia="zh-CN"/>
              </w:rPr>
              <w:t>太和项目</w:t>
            </w:r>
          </w:p>
        </w:tc>
        <w:tc>
          <w:tcPr>
            <w:tcW w:w="3807" w:type="dxa"/>
            <w:noWrap w:val="0"/>
            <w:vAlign w:val="bottom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13,059,100.20</w:t>
            </w:r>
          </w:p>
        </w:tc>
        <w:tc>
          <w:tcPr>
            <w:tcW w:w="3807" w:type="dxa"/>
            <w:noWrap w:val="0"/>
            <w:vAlign w:val="bottom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sz w:val="28"/>
                <w:szCs w:val="28"/>
                <w:vertAlign w:val="baseline"/>
                <w:lang w:val="en-US" w:eastAsia="zh-CN"/>
              </w:rPr>
              <w:t>15,650,469.77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</w:trPr>
        <w:tc>
          <w:tcPr>
            <w:tcW w:w="2284" w:type="dxa"/>
            <w:noWrap w:val="0"/>
            <w:vAlign w:val="center"/>
          </w:tcPr>
          <w:p>
            <w:pPr>
              <w:jc w:val="center"/>
              <w:rPr>
                <w:rFonts w:hint="default" w:ascii="宋体" w:hAnsi="宋体" w:cs="宋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  <w:highlight w:val="none"/>
                <w:vertAlign w:val="baseline"/>
                <w:lang w:val="en-US" w:eastAsia="zh-CN"/>
              </w:rPr>
              <w:t>正尚项目</w:t>
            </w:r>
          </w:p>
        </w:tc>
        <w:tc>
          <w:tcPr>
            <w:tcW w:w="3807" w:type="dxa"/>
            <w:noWrap w:val="0"/>
            <w:vAlign w:val="bottom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1,498,479.95</w:t>
            </w:r>
          </w:p>
        </w:tc>
        <w:tc>
          <w:tcPr>
            <w:tcW w:w="3807" w:type="dxa"/>
            <w:noWrap w:val="0"/>
            <w:vAlign w:val="bottom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sz w:val="28"/>
                <w:szCs w:val="28"/>
                <w:vertAlign w:val="baseline"/>
                <w:lang w:val="en-US" w:eastAsia="zh-CN"/>
              </w:rPr>
              <w:t>771,362.19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</w:trPr>
        <w:tc>
          <w:tcPr>
            <w:tcW w:w="2284" w:type="dxa"/>
            <w:noWrap w:val="0"/>
            <w:vAlign w:val="center"/>
          </w:tcPr>
          <w:p>
            <w:pPr>
              <w:jc w:val="center"/>
              <w:rPr>
                <w:rFonts w:hint="default" w:ascii="宋体" w:hAnsi="宋体" w:cs="宋体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  <w:highlight w:val="none"/>
                <w:lang w:val="en-US" w:eastAsia="zh-CN"/>
              </w:rPr>
              <w:t>珠江项目</w:t>
            </w:r>
          </w:p>
        </w:tc>
        <w:tc>
          <w:tcPr>
            <w:tcW w:w="3807" w:type="dxa"/>
            <w:noWrap w:val="0"/>
            <w:vAlign w:val="bottom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2,015,381.44</w:t>
            </w:r>
          </w:p>
        </w:tc>
        <w:tc>
          <w:tcPr>
            <w:tcW w:w="3807" w:type="dxa"/>
            <w:noWrap w:val="0"/>
            <w:vAlign w:val="bottom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sz w:val="28"/>
                <w:szCs w:val="28"/>
                <w:vertAlign w:val="baseline"/>
                <w:lang w:val="en-US" w:eastAsia="zh-CN"/>
              </w:rPr>
              <w:t>3,836,160.63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5" w:hRule="atLeast"/>
        </w:trPr>
        <w:tc>
          <w:tcPr>
            <w:tcW w:w="2284" w:type="dxa"/>
            <w:noWrap w:val="0"/>
            <w:vAlign w:val="center"/>
          </w:tcPr>
          <w:p>
            <w:pPr>
              <w:jc w:val="center"/>
              <w:rPr>
                <w:rFonts w:hint="default" w:ascii="宋体" w:hAnsi="宋体" w:cs="宋体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  <w:highlight w:val="none"/>
                <w:lang w:val="en-US" w:eastAsia="zh-CN"/>
              </w:rPr>
              <w:t>汇豪项目</w:t>
            </w:r>
          </w:p>
        </w:tc>
        <w:tc>
          <w:tcPr>
            <w:tcW w:w="3807" w:type="dxa"/>
            <w:noWrap w:val="0"/>
            <w:vAlign w:val="bottom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1,777,827.10</w:t>
            </w:r>
          </w:p>
        </w:tc>
        <w:tc>
          <w:tcPr>
            <w:tcW w:w="3807" w:type="dxa"/>
            <w:noWrap w:val="0"/>
            <w:vAlign w:val="bottom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sz w:val="28"/>
                <w:szCs w:val="28"/>
                <w:vertAlign w:val="baseline"/>
                <w:lang w:val="en-US" w:eastAsia="zh-CN"/>
              </w:rPr>
              <w:t>1,932,195.37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2284" w:type="dxa"/>
            <w:noWrap w:val="0"/>
            <w:vAlign w:val="center"/>
          </w:tcPr>
          <w:p>
            <w:pPr>
              <w:jc w:val="center"/>
              <w:rPr>
                <w:rFonts w:hint="default" w:ascii="宋体" w:hAnsi="宋体" w:cs="宋体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  <w:highlight w:val="none"/>
                <w:lang w:val="en-US" w:eastAsia="zh-CN"/>
              </w:rPr>
              <w:t>合计</w:t>
            </w:r>
          </w:p>
        </w:tc>
        <w:tc>
          <w:tcPr>
            <w:tcW w:w="3807" w:type="dxa"/>
            <w:noWrap w:val="0"/>
            <w:vAlign w:val="center"/>
          </w:tcPr>
          <w:p>
            <w:pPr>
              <w:jc w:val="center"/>
              <w:rPr>
                <w:rFonts w:hint="default" w:ascii="宋体" w:hAnsi="宋体" w:cs="宋体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  <w:highlight w:val="none"/>
                <w:lang w:val="en-US" w:eastAsia="zh-CN"/>
              </w:rPr>
              <w:t>18,350,788.69</w:t>
            </w:r>
          </w:p>
        </w:tc>
        <w:tc>
          <w:tcPr>
            <w:tcW w:w="3807" w:type="dxa"/>
            <w:noWrap w:val="0"/>
            <w:vAlign w:val="center"/>
          </w:tcPr>
          <w:p>
            <w:pPr>
              <w:jc w:val="center"/>
              <w:rPr>
                <w:rFonts w:hint="default" w:ascii="宋体" w:hAnsi="宋体" w:cs="宋体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  <w:vertAlign w:val="baseline"/>
                <w:lang w:val="en-US" w:eastAsia="zh-CN"/>
              </w:rPr>
              <w:t>22,190,187.96</w:t>
            </w:r>
          </w:p>
        </w:tc>
      </w:tr>
    </w:tbl>
    <w:p>
      <w:pPr>
        <w:numPr>
          <w:ilvl w:val="0"/>
          <w:numId w:val="1"/>
        </w:numPr>
        <w:ind w:left="-350" w:leftChars="0" w:firstLine="560" w:firstLineChars="0"/>
        <w:jc w:val="both"/>
        <w:rPr>
          <w:rFonts w:hint="eastAsia" w:ascii="宋体" w:hAnsi="宋体" w:cs="宋体"/>
          <w:sz w:val="28"/>
          <w:szCs w:val="28"/>
          <w:highlight w:val="none"/>
          <w:lang w:val="en-US" w:eastAsia="zh-CN"/>
        </w:rPr>
      </w:pPr>
      <w:r>
        <w:rPr>
          <w:rFonts w:hint="eastAsia" w:ascii="宋体" w:hAnsi="宋体" w:cs="宋体"/>
          <w:sz w:val="28"/>
          <w:szCs w:val="28"/>
          <w:highlight w:val="none"/>
          <w:lang w:val="en-US" w:eastAsia="zh-CN"/>
        </w:rPr>
        <w:t>营业成本</w:t>
      </w:r>
      <w:r>
        <w:rPr>
          <w:rFonts w:hint="eastAsia" w:ascii="宋体" w:hAnsi="宋体" w:cs="宋体"/>
          <w:sz w:val="28"/>
          <w:szCs w:val="28"/>
          <w:lang w:val="en-US" w:eastAsia="zh-CN"/>
        </w:rPr>
        <w:t>18,113,237.12元：</w:t>
      </w:r>
    </w:p>
    <w:p>
      <w:pPr>
        <w:numPr>
          <w:ilvl w:val="0"/>
          <w:numId w:val="2"/>
        </w:numPr>
        <w:ind w:left="420" w:leftChars="0" w:firstLine="0" w:firstLineChars="0"/>
        <w:jc w:val="both"/>
        <w:rPr>
          <w:rFonts w:hint="eastAsia" w:ascii="宋体" w:hAnsi="宋体" w:cs="宋体"/>
          <w:sz w:val="28"/>
          <w:szCs w:val="28"/>
          <w:vertAlign w:val="baseline"/>
          <w:lang w:val="en-US" w:eastAsia="zh-CN"/>
        </w:rPr>
      </w:pPr>
      <w:r>
        <w:rPr>
          <w:rFonts w:hint="eastAsia" w:ascii="宋体" w:hAnsi="宋体" w:cs="宋体"/>
          <w:sz w:val="28"/>
          <w:szCs w:val="28"/>
          <w:vertAlign w:val="baseline"/>
          <w:lang w:val="en-US" w:eastAsia="zh-CN"/>
        </w:rPr>
        <w:t>、租金及服务费12,527,066.07元，其中：</w:t>
      </w:r>
    </w:p>
    <w:p>
      <w:pPr>
        <w:numPr>
          <w:ilvl w:val="0"/>
          <w:numId w:val="3"/>
        </w:numPr>
        <w:ind w:left="1050" w:leftChars="0" w:firstLineChars="0"/>
        <w:jc w:val="both"/>
        <w:rPr>
          <w:rFonts w:hint="eastAsia" w:ascii="宋体" w:hAnsi="宋体" w:cs="宋体"/>
          <w:sz w:val="28"/>
          <w:szCs w:val="28"/>
          <w:vertAlign w:val="baseline"/>
          <w:lang w:val="en-US" w:eastAsia="zh-CN"/>
        </w:rPr>
      </w:pPr>
      <w:r>
        <w:rPr>
          <w:rFonts w:hint="eastAsia" w:ascii="宋体" w:hAnsi="宋体" w:cs="宋体"/>
          <w:sz w:val="28"/>
          <w:szCs w:val="28"/>
          <w:vertAlign w:val="baseline"/>
          <w:lang w:val="en-US" w:eastAsia="zh-CN"/>
        </w:rPr>
        <w:t>太和项目8,159,808.43元，无免租期。</w:t>
      </w:r>
    </w:p>
    <w:p>
      <w:pPr>
        <w:numPr>
          <w:ilvl w:val="0"/>
          <w:numId w:val="3"/>
        </w:numPr>
        <w:ind w:left="1050" w:leftChars="0" w:firstLineChars="0"/>
        <w:jc w:val="both"/>
        <w:rPr>
          <w:rFonts w:hint="default" w:ascii="宋体" w:hAnsi="宋体" w:cs="宋体"/>
          <w:sz w:val="28"/>
          <w:szCs w:val="28"/>
          <w:vertAlign w:val="baseline"/>
          <w:lang w:val="en-US" w:eastAsia="zh-CN"/>
        </w:rPr>
      </w:pPr>
      <w:r>
        <w:rPr>
          <w:rFonts w:hint="eastAsia" w:ascii="宋体" w:hAnsi="宋体" w:cs="宋体"/>
          <w:sz w:val="28"/>
          <w:szCs w:val="28"/>
          <w:vertAlign w:val="baseline"/>
          <w:lang w:val="en-US" w:eastAsia="zh-CN"/>
        </w:rPr>
        <w:t>正尚项目389,768.50元</w:t>
      </w:r>
    </w:p>
    <w:p>
      <w:pPr>
        <w:numPr>
          <w:ilvl w:val="0"/>
          <w:numId w:val="0"/>
        </w:numPr>
        <w:jc w:val="both"/>
        <w:rPr>
          <w:rFonts w:hint="default" w:ascii="宋体" w:hAnsi="宋体" w:cs="宋体"/>
          <w:sz w:val="28"/>
          <w:szCs w:val="28"/>
          <w:vertAlign w:val="baseline"/>
          <w:lang w:val="en-US" w:eastAsia="zh-CN"/>
        </w:rPr>
      </w:pPr>
      <w:r>
        <w:rPr>
          <w:rFonts w:hint="eastAsia" w:ascii="宋体" w:hAnsi="宋体" w:cs="宋体"/>
          <w:sz w:val="28"/>
          <w:szCs w:val="28"/>
          <w:vertAlign w:val="baseline"/>
          <w:lang w:val="en-US" w:eastAsia="zh-CN"/>
        </w:rPr>
        <w:t xml:space="preserve">        </w:t>
      </w:r>
      <w:r>
        <w:rPr>
          <w:rFonts w:hint="eastAsia"/>
          <w:color w:val="auto"/>
          <w:sz w:val="28"/>
          <w:szCs w:val="28"/>
          <w:highlight w:val="none"/>
          <w:lang w:val="en-US" w:eastAsia="zh-CN"/>
        </w:rPr>
        <w:t>免租期情况为：正尚项目共免租1个月（2022.1.1-2022.1.31）。</w:t>
      </w:r>
    </w:p>
    <w:p>
      <w:pPr>
        <w:numPr>
          <w:ilvl w:val="0"/>
          <w:numId w:val="3"/>
        </w:numPr>
        <w:ind w:left="1050" w:leftChars="0" w:firstLineChars="0"/>
        <w:jc w:val="both"/>
        <w:rPr>
          <w:rFonts w:hint="default" w:ascii="宋体" w:hAnsi="宋体" w:cs="宋体"/>
          <w:sz w:val="28"/>
          <w:szCs w:val="28"/>
          <w:vertAlign w:val="baseline"/>
          <w:lang w:val="en-US" w:eastAsia="zh-CN"/>
        </w:rPr>
      </w:pPr>
      <w:r>
        <w:rPr>
          <w:rFonts w:hint="eastAsia" w:ascii="宋体" w:hAnsi="宋体" w:cs="宋体"/>
          <w:sz w:val="28"/>
          <w:szCs w:val="28"/>
          <w:vertAlign w:val="baseline"/>
          <w:lang w:val="en-US" w:eastAsia="zh-CN"/>
        </w:rPr>
        <w:t>珠江项目</w:t>
      </w:r>
      <w:r>
        <w:rPr>
          <w:rFonts w:hint="default" w:ascii="宋体" w:hAnsi="宋体" w:cs="宋体"/>
          <w:sz w:val="28"/>
          <w:szCs w:val="28"/>
          <w:vertAlign w:val="baseline"/>
          <w:lang w:val="en-US" w:eastAsia="zh-CN"/>
        </w:rPr>
        <w:t>3,010,083.57</w:t>
      </w:r>
      <w:r>
        <w:rPr>
          <w:rFonts w:hint="eastAsia" w:ascii="宋体" w:hAnsi="宋体" w:cs="宋体"/>
          <w:sz w:val="28"/>
          <w:szCs w:val="28"/>
          <w:vertAlign w:val="baseline"/>
          <w:lang w:val="en-US" w:eastAsia="zh-CN"/>
        </w:rPr>
        <w:t>元，无免租期。</w:t>
      </w:r>
    </w:p>
    <w:p>
      <w:pPr>
        <w:numPr>
          <w:ilvl w:val="0"/>
          <w:numId w:val="3"/>
        </w:numPr>
        <w:ind w:left="1050" w:leftChars="0" w:firstLineChars="0"/>
        <w:jc w:val="both"/>
        <w:rPr>
          <w:rFonts w:hint="default" w:ascii="宋体" w:hAnsi="宋体" w:cs="宋体"/>
          <w:sz w:val="28"/>
          <w:szCs w:val="28"/>
          <w:vertAlign w:val="baseline"/>
          <w:lang w:val="en-US" w:eastAsia="zh-CN"/>
        </w:rPr>
      </w:pPr>
      <w:r>
        <w:rPr>
          <w:rFonts w:hint="default" w:ascii="宋体" w:hAnsi="宋体" w:cs="宋体"/>
          <w:sz w:val="28"/>
          <w:szCs w:val="28"/>
          <w:vertAlign w:val="baseline"/>
          <w:lang w:val="en-US" w:eastAsia="zh-CN"/>
        </w:rPr>
        <w:t>汇豪项目967,405.57元，无免租期。</w:t>
      </w:r>
    </w:p>
    <w:p>
      <w:pPr>
        <w:numPr>
          <w:ilvl w:val="0"/>
          <w:numId w:val="2"/>
        </w:numPr>
        <w:ind w:left="420" w:leftChars="0" w:firstLine="0" w:firstLineChars="0"/>
        <w:jc w:val="both"/>
        <w:rPr>
          <w:rFonts w:hint="default" w:ascii="宋体" w:hAnsi="宋体" w:cs="宋体"/>
          <w:sz w:val="28"/>
          <w:szCs w:val="28"/>
          <w:vertAlign w:val="baseline"/>
          <w:lang w:val="en-US" w:eastAsia="zh-CN"/>
        </w:rPr>
      </w:pPr>
      <w:r>
        <w:rPr>
          <w:rFonts w:hint="eastAsia" w:ascii="宋体" w:hAnsi="宋体" w:cs="宋体"/>
          <w:sz w:val="28"/>
          <w:szCs w:val="28"/>
          <w:vertAlign w:val="baseline"/>
          <w:lang w:val="en-US" w:eastAsia="zh-CN"/>
        </w:rPr>
        <w:t>、支付太和项目税务公关费300,000.00元。</w:t>
      </w:r>
    </w:p>
    <w:p>
      <w:pPr>
        <w:numPr>
          <w:ilvl w:val="0"/>
          <w:numId w:val="1"/>
        </w:numPr>
        <w:ind w:left="-350" w:leftChars="0" w:firstLine="560" w:firstLineChars="0"/>
        <w:jc w:val="both"/>
        <w:rPr>
          <w:rFonts w:hint="eastAsia" w:ascii="宋体" w:hAnsi="宋体" w:cs="宋体"/>
          <w:sz w:val="28"/>
          <w:szCs w:val="28"/>
          <w:highlight w:val="none"/>
          <w:lang w:val="en-US" w:eastAsia="zh-CN"/>
        </w:rPr>
      </w:pPr>
      <w:r>
        <w:rPr>
          <w:rFonts w:hint="eastAsia" w:ascii="宋体" w:hAnsi="宋体" w:cs="宋体"/>
          <w:sz w:val="28"/>
          <w:szCs w:val="28"/>
          <w:highlight w:val="none"/>
          <w:lang w:val="en-US" w:eastAsia="zh-CN"/>
        </w:rPr>
        <w:t>税金及附加193,924.78元。</w:t>
      </w:r>
    </w:p>
    <w:p>
      <w:pPr>
        <w:numPr>
          <w:ilvl w:val="0"/>
          <w:numId w:val="1"/>
        </w:numPr>
        <w:ind w:left="-350" w:leftChars="0" w:firstLine="560" w:firstLineChars="0"/>
        <w:jc w:val="both"/>
        <w:rPr>
          <w:rFonts w:hint="default" w:ascii="宋体" w:hAnsi="宋体" w:cs="宋体"/>
          <w:sz w:val="28"/>
          <w:szCs w:val="28"/>
          <w:highlight w:val="none"/>
          <w:lang w:val="en-US" w:eastAsia="zh-CN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>销售费用600,658.94元，其中居间费用597,923.94元，广告制作费2,735.00元。</w:t>
      </w:r>
    </w:p>
    <w:p>
      <w:pPr>
        <w:numPr>
          <w:ilvl w:val="0"/>
          <w:numId w:val="0"/>
        </w:numPr>
        <w:ind w:firstLine="560" w:firstLineChars="200"/>
        <w:jc w:val="both"/>
        <w:rPr>
          <w:rFonts w:hint="eastAsia" w:ascii="宋体" w:hAnsi="宋体" w:cs="宋体"/>
          <w:sz w:val="28"/>
          <w:szCs w:val="28"/>
          <w:highlight w:val="none"/>
          <w:lang w:val="en-US" w:eastAsia="zh-CN"/>
        </w:rPr>
      </w:pPr>
      <w:r>
        <w:rPr>
          <w:rFonts w:hint="default" w:ascii="宋体" w:hAnsi="宋体" w:cs="宋体"/>
          <w:sz w:val="28"/>
          <w:szCs w:val="28"/>
          <w:highlight w:val="none"/>
          <w:lang w:val="en-US" w:eastAsia="zh-CN"/>
        </w:rPr>
        <w:t>202</w:t>
      </w:r>
      <w:r>
        <w:rPr>
          <w:rFonts w:hint="eastAsia" w:ascii="宋体" w:hAnsi="宋体" w:cs="宋体"/>
          <w:sz w:val="28"/>
          <w:szCs w:val="28"/>
          <w:highlight w:val="none"/>
          <w:lang w:val="en-US" w:eastAsia="zh-CN"/>
        </w:rPr>
        <w:t>1</w:t>
      </w:r>
      <w:r>
        <w:rPr>
          <w:rFonts w:hint="default" w:ascii="宋体" w:hAnsi="宋体" w:cs="宋体"/>
          <w:sz w:val="28"/>
          <w:szCs w:val="28"/>
          <w:highlight w:val="none"/>
          <w:lang w:val="en-US" w:eastAsia="zh-CN"/>
        </w:rPr>
        <w:t>年全年实际发生居间服务费</w:t>
      </w:r>
      <w:r>
        <w:rPr>
          <w:rFonts w:hint="eastAsia" w:ascii="宋体" w:hAnsi="宋体" w:cs="宋体"/>
          <w:sz w:val="28"/>
          <w:szCs w:val="28"/>
          <w:highlight w:val="none"/>
          <w:lang w:val="en-US" w:eastAsia="zh-CN"/>
        </w:rPr>
        <w:t>1,340,997.00</w:t>
      </w:r>
      <w:r>
        <w:rPr>
          <w:rFonts w:hint="default" w:ascii="宋体" w:hAnsi="宋体" w:cs="宋体"/>
          <w:sz w:val="28"/>
          <w:szCs w:val="28"/>
          <w:highlight w:val="none"/>
          <w:lang w:val="en-US" w:eastAsia="zh-CN"/>
        </w:rPr>
        <w:t>元。202</w:t>
      </w:r>
      <w:r>
        <w:rPr>
          <w:rFonts w:hint="eastAsia" w:ascii="宋体" w:hAnsi="宋体" w:cs="宋体"/>
          <w:sz w:val="28"/>
          <w:szCs w:val="28"/>
          <w:highlight w:val="none"/>
          <w:lang w:val="en-US" w:eastAsia="zh-CN"/>
        </w:rPr>
        <w:t>2</w:t>
      </w:r>
      <w:r>
        <w:rPr>
          <w:rFonts w:hint="default" w:ascii="宋体" w:hAnsi="宋体" w:cs="宋体"/>
          <w:sz w:val="28"/>
          <w:szCs w:val="28"/>
          <w:highlight w:val="none"/>
          <w:lang w:val="en-US" w:eastAsia="zh-CN"/>
        </w:rPr>
        <w:t>年</w:t>
      </w:r>
      <w:r>
        <w:rPr>
          <w:rFonts w:hint="eastAsia" w:ascii="宋体" w:hAnsi="宋体" w:cs="宋体"/>
          <w:sz w:val="28"/>
          <w:szCs w:val="28"/>
          <w:highlight w:val="none"/>
          <w:lang w:val="en-US" w:eastAsia="zh-CN"/>
        </w:rPr>
        <w:t>第</w:t>
      </w:r>
      <w:r>
        <w:rPr>
          <w:rFonts w:hint="default" w:ascii="宋体" w:hAnsi="宋体" w:cs="宋体"/>
          <w:sz w:val="28"/>
          <w:szCs w:val="28"/>
          <w:highlight w:val="none"/>
          <w:lang w:val="en-US" w:eastAsia="zh-CN"/>
        </w:rPr>
        <w:t>二季较202</w:t>
      </w:r>
      <w:r>
        <w:rPr>
          <w:rFonts w:hint="eastAsia" w:ascii="宋体" w:hAnsi="宋体" w:cs="宋体"/>
          <w:sz w:val="28"/>
          <w:szCs w:val="28"/>
          <w:highlight w:val="none"/>
          <w:lang w:val="en-US" w:eastAsia="zh-CN"/>
        </w:rPr>
        <w:t>1</w:t>
      </w:r>
      <w:r>
        <w:rPr>
          <w:rFonts w:hint="default" w:ascii="宋体" w:hAnsi="宋体" w:cs="宋体"/>
          <w:sz w:val="28"/>
          <w:szCs w:val="28"/>
          <w:highlight w:val="none"/>
          <w:lang w:val="en-US" w:eastAsia="zh-CN"/>
        </w:rPr>
        <w:t>年全年发生额的占比为</w:t>
      </w:r>
      <w:r>
        <w:rPr>
          <w:rFonts w:hint="eastAsia" w:ascii="宋体" w:hAnsi="宋体" w:cs="宋体"/>
          <w:sz w:val="28"/>
          <w:szCs w:val="28"/>
          <w:highlight w:val="none"/>
          <w:lang w:val="en-US" w:eastAsia="zh-CN"/>
        </w:rPr>
        <w:t>44</w:t>
      </w:r>
      <w:r>
        <w:rPr>
          <w:rFonts w:hint="default" w:ascii="宋体" w:hAnsi="宋体" w:cs="宋体"/>
          <w:sz w:val="28"/>
          <w:szCs w:val="28"/>
          <w:highlight w:val="none"/>
          <w:lang w:val="en-US" w:eastAsia="zh-CN"/>
        </w:rPr>
        <w:t>%。202</w:t>
      </w:r>
      <w:r>
        <w:rPr>
          <w:rFonts w:hint="eastAsia" w:ascii="宋体" w:hAnsi="宋体" w:cs="宋体"/>
          <w:sz w:val="28"/>
          <w:szCs w:val="28"/>
          <w:highlight w:val="none"/>
          <w:lang w:val="en-US" w:eastAsia="zh-CN"/>
        </w:rPr>
        <w:t>2</w:t>
      </w:r>
      <w:r>
        <w:rPr>
          <w:rFonts w:hint="default" w:ascii="宋体" w:hAnsi="宋体" w:cs="宋体"/>
          <w:sz w:val="28"/>
          <w:szCs w:val="28"/>
          <w:highlight w:val="none"/>
          <w:lang w:val="en-US" w:eastAsia="zh-CN"/>
        </w:rPr>
        <w:t>年二季度，</w:t>
      </w:r>
      <w:r>
        <w:rPr>
          <w:rFonts w:hint="eastAsia" w:ascii="宋体" w:hAnsi="宋体" w:cs="宋体"/>
          <w:sz w:val="28"/>
          <w:szCs w:val="28"/>
          <w:highlight w:val="none"/>
          <w:lang w:val="en-US" w:eastAsia="zh-CN"/>
        </w:rPr>
        <w:t>受2021年底及2022年一季度西安疫情的影响</w:t>
      </w:r>
      <w:r>
        <w:rPr>
          <w:rFonts w:hint="default" w:ascii="宋体" w:hAnsi="宋体" w:cs="宋体"/>
          <w:sz w:val="28"/>
          <w:szCs w:val="28"/>
          <w:highlight w:val="none"/>
          <w:lang w:val="en-US" w:eastAsia="zh-CN"/>
        </w:rPr>
        <w:t>，</w:t>
      </w:r>
      <w:r>
        <w:rPr>
          <w:rFonts w:hint="eastAsia" w:ascii="宋体" w:hAnsi="宋体" w:cs="宋体"/>
          <w:sz w:val="28"/>
          <w:szCs w:val="28"/>
          <w:highlight w:val="none"/>
          <w:lang w:val="en-US" w:eastAsia="zh-CN"/>
        </w:rPr>
        <w:t>市场较为低迷，为促使招商成交</w:t>
      </w:r>
      <w:r>
        <w:rPr>
          <w:rFonts w:hint="default" w:ascii="宋体" w:hAnsi="宋体" w:cs="宋体"/>
          <w:sz w:val="28"/>
          <w:szCs w:val="28"/>
          <w:highlight w:val="none"/>
          <w:lang w:val="en-US" w:eastAsia="zh-CN"/>
        </w:rPr>
        <w:t>新户，</w:t>
      </w:r>
      <w:r>
        <w:rPr>
          <w:rFonts w:hint="eastAsia" w:ascii="宋体" w:hAnsi="宋体" w:cs="宋体"/>
          <w:sz w:val="28"/>
          <w:szCs w:val="28"/>
          <w:highlight w:val="none"/>
          <w:lang w:val="en-US" w:eastAsia="zh-CN"/>
        </w:rPr>
        <w:t>加入现金奖，</w:t>
      </w:r>
      <w:r>
        <w:rPr>
          <w:rFonts w:hint="default" w:ascii="宋体" w:hAnsi="宋体" w:cs="宋体"/>
          <w:sz w:val="28"/>
          <w:szCs w:val="28"/>
          <w:highlight w:val="none"/>
          <w:lang w:val="en-US" w:eastAsia="zh-CN"/>
        </w:rPr>
        <w:t>因此居间服务费上升，下半年应在老客户的续租上多下功夫，同时扩展自上客业务，降低居间服务费的开支</w:t>
      </w:r>
      <w:r>
        <w:rPr>
          <w:rFonts w:hint="eastAsia" w:ascii="宋体" w:hAnsi="宋体" w:cs="宋体"/>
          <w:sz w:val="28"/>
          <w:szCs w:val="28"/>
          <w:highlight w:val="none"/>
          <w:lang w:val="en-US" w:eastAsia="zh-CN"/>
        </w:rPr>
        <w:t>。</w:t>
      </w:r>
    </w:p>
    <w:p>
      <w:pPr>
        <w:numPr>
          <w:ilvl w:val="0"/>
          <w:numId w:val="1"/>
        </w:numPr>
        <w:ind w:left="-350" w:leftChars="0" w:firstLine="560" w:firstLineChars="0"/>
        <w:jc w:val="both"/>
        <w:rPr>
          <w:rFonts w:hint="eastAsia" w:ascii="宋体" w:hAnsi="宋体" w:cs="宋体"/>
          <w:sz w:val="28"/>
          <w:szCs w:val="28"/>
          <w:highlight w:val="none"/>
          <w:lang w:val="en-US" w:eastAsia="zh-CN"/>
        </w:rPr>
      </w:pPr>
      <w:r>
        <w:rPr>
          <w:rFonts w:hint="eastAsia" w:ascii="宋体" w:hAnsi="宋体" w:cs="宋体"/>
          <w:sz w:val="28"/>
          <w:szCs w:val="28"/>
          <w:highlight w:val="none"/>
          <w:lang w:val="en-US" w:eastAsia="zh-CN"/>
        </w:rPr>
        <w:t>管理费用1,962,082.21元，其中工资1,4</w:t>
      </w:r>
      <w:bookmarkStart w:id="0" w:name="_GoBack"/>
      <w:bookmarkEnd w:id="0"/>
      <w:r>
        <w:rPr>
          <w:rFonts w:hint="eastAsia" w:ascii="宋体" w:hAnsi="宋体" w:cs="宋体"/>
          <w:sz w:val="28"/>
          <w:szCs w:val="28"/>
          <w:highlight w:val="none"/>
          <w:lang w:val="en-US" w:eastAsia="zh-CN"/>
        </w:rPr>
        <w:t>92,960.51元,诉讼费84,852.00元。</w:t>
      </w:r>
    </w:p>
    <w:p>
      <w:pPr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2022年二季度管理费用</w:t>
      </w:r>
      <w:r>
        <w:rPr>
          <w:rFonts w:hint="eastAsia" w:ascii="宋体" w:hAnsi="宋体" w:cs="宋体"/>
          <w:sz w:val="28"/>
          <w:szCs w:val="28"/>
          <w:highlight w:val="none"/>
          <w:lang w:val="en-US" w:eastAsia="zh-CN"/>
        </w:rPr>
        <w:t>1,962,082.21</w:t>
      </w:r>
      <w:r>
        <w:rPr>
          <w:rFonts w:hint="eastAsia"/>
          <w:sz w:val="28"/>
          <w:szCs w:val="28"/>
          <w:lang w:val="en-US" w:eastAsia="zh-CN"/>
        </w:rPr>
        <w:t>元。2021年全年发生管理费用3,407,630.59元，2022年二季度较2021年全年发生额的占比为58%。</w:t>
      </w:r>
    </w:p>
    <w:p>
      <w:pPr>
        <w:numPr>
          <w:ilvl w:val="0"/>
          <w:numId w:val="1"/>
        </w:numPr>
        <w:ind w:left="-350" w:leftChars="0" w:firstLine="56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财务费用-1,860.23元。</w:t>
      </w:r>
    </w:p>
    <w:p>
      <w:pPr>
        <w:numPr>
          <w:ilvl w:val="0"/>
          <w:numId w:val="1"/>
        </w:numPr>
        <w:ind w:left="-350" w:leftChars="0" w:firstLine="560" w:firstLine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 w:ascii="宋体" w:hAnsi="宋体" w:cs="宋体"/>
          <w:sz w:val="28"/>
          <w:szCs w:val="28"/>
          <w:lang w:val="en-US" w:eastAsia="zh-CN"/>
        </w:rPr>
        <w:t>营业外收入</w:t>
      </w:r>
      <w:r>
        <w:rPr>
          <w:rFonts w:hint="default"/>
          <w:sz w:val="28"/>
          <w:szCs w:val="28"/>
          <w:lang w:val="en-US" w:eastAsia="zh-CN"/>
        </w:rPr>
        <w:t>13,121.72</w:t>
      </w:r>
      <w:r>
        <w:rPr>
          <w:rFonts w:hint="eastAsia" w:ascii="宋体" w:hAnsi="宋体" w:cs="宋体"/>
          <w:sz w:val="28"/>
          <w:szCs w:val="28"/>
          <w:lang w:val="en-US" w:eastAsia="zh-CN"/>
        </w:rPr>
        <w:t>元。</w:t>
      </w:r>
    </w:p>
    <w:p>
      <w:pPr>
        <w:numPr>
          <w:ilvl w:val="0"/>
          <w:numId w:val="1"/>
        </w:numPr>
        <w:ind w:left="-350" w:leftChars="0" w:firstLine="560" w:firstLine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>营业外支出190.65元。</w:t>
      </w:r>
    </w:p>
    <w:p>
      <w:pPr>
        <w:numPr>
          <w:ilvl w:val="0"/>
          <w:numId w:val="1"/>
        </w:numPr>
        <w:ind w:left="-350" w:leftChars="0" w:firstLine="560" w:firstLine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>所得税费用59,570.55元。</w:t>
      </w:r>
    </w:p>
    <w:p>
      <w:pPr>
        <w:numPr>
          <w:ilvl w:val="0"/>
          <w:numId w:val="1"/>
        </w:numPr>
        <w:ind w:left="-350" w:leftChars="0" w:firstLine="560" w:firstLine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利润-2,563,893.61元。</w:t>
      </w:r>
    </w:p>
    <w:p>
      <w:pPr>
        <w:numPr>
          <w:ilvl w:val="0"/>
          <w:numId w:val="0"/>
        </w:numPr>
        <w:ind w:leftChars="200" w:firstLine="560" w:firstLineChars="20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2022年因上半年所有项目均无免租期，市场低迷，受价格及出租率的影响，收入同比下降，成本同比上升。</w:t>
      </w:r>
    </w:p>
    <w:p>
      <w:pPr>
        <w:numPr>
          <w:ilvl w:val="0"/>
          <w:numId w:val="0"/>
        </w:numPr>
        <w:ind w:leftChars="200" w:firstLine="560" w:firstLineChars="20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ind w:leftChars="200" w:firstLine="560" w:firstLineChars="200"/>
        <w:jc w:val="righ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2022年7月31日</w:t>
      </w:r>
    </w:p>
    <w:p>
      <w:pPr>
        <w:numPr>
          <w:ilvl w:val="0"/>
          <w:numId w:val="0"/>
        </w:numPr>
        <w:ind w:leftChars="200" w:firstLine="560" w:firstLineChars="200"/>
        <w:jc w:val="both"/>
        <w:rPr>
          <w:rFonts w:hint="default"/>
          <w:sz w:val="28"/>
          <w:szCs w:val="28"/>
          <w:lang w:val="en-US" w:eastAsia="zh-CN"/>
        </w:rPr>
      </w:pPr>
    </w:p>
    <w:p>
      <w:pPr>
        <w:jc w:val="center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</w:p>
    <w:p/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6AC140"/>
    <w:multiLevelType w:val="singleLevel"/>
    <w:tmpl w:val="DE6AC140"/>
    <w:lvl w:ilvl="0" w:tentative="0">
      <w:start w:val="1"/>
      <w:numFmt w:val="chineseCounting"/>
      <w:suff w:val="nothing"/>
      <w:lvlText w:val="%1、"/>
      <w:lvlJc w:val="left"/>
      <w:pPr>
        <w:ind w:left="-350"/>
      </w:pPr>
      <w:rPr>
        <w:rFonts w:hint="eastAsia"/>
      </w:rPr>
    </w:lvl>
  </w:abstractNum>
  <w:abstractNum w:abstractNumId="1">
    <w:nsid w:val="F76C5A33"/>
    <w:multiLevelType w:val="singleLevel"/>
    <w:tmpl w:val="F76C5A33"/>
    <w:lvl w:ilvl="0" w:tentative="0">
      <w:start w:val="1"/>
      <w:numFmt w:val="chineseCounting"/>
      <w:suff w:val="nothing"/>
      <w:lvlText w:val="（%1）"/>
      <w:lvlJc w:val="left"/>
      <w:pPr>
        <w:ind w:left="420" w:leftChars="0" w:firstLine="0" w:firstLineChars="0"/>
      </w:pPr>
      <w:rPr>
        <w:rFonts w:hint="eastAsia"/>
      </w:rPr>
    </w:lvl>
  </w:abstractNum>
  <w:abstractNum w:abstractNumId="2">
    <w:nsid w:val="0B9A837B"/>
    <w:multiLevelType w:val="singleLevel"/>
    <w:tmpl w:val="0B9A837B"/>
    <w:lvl w:ilvl="0" w:tentative="0">
      <w:start w:val="1"/>
      <w:numFmt w:val="decimal"/>
      <w:suff w:val="nothing"/>
      <w:lvlText w:val="%1、"/>
      <w:lvlJc w:val="left"/>
      <w:pPr>
        <w:ind w:left="63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NlNDA0ZTgxZjFlZTc1MTIxMDNkNTM4MGIxOWM2MmMifQ=="/>
  </w:docVars>
  <w:rsids>
    <w:rsidRoot w:val="6001460A"/>
    <w:rsid w:val="0AEE4C6C"/>
    <w:rsid w:val="184D754A"/>
    <w:rsid w:val="1F8F4F3A"/>
    <w:rsid w:val="1FA66D70"/>
    <w:rsid w:val="211B2738"/>
    <w:rsid w:val="30F94B3F"/>
    <w:rsid w:val="33377E5E"/>
    <w:rsid w:val="3EBC00B6"/>
    <w:rsid w:val="4A262D2A"/>
    <w:rsid w:val="5A8616E6"/>
    <w:rsid w:val="6001460A"/>
    <w:rsid w:val="60C969EB"/>
    <w:rsid w:val="73FE22F3"/>
    <w:rsid w:val="760F2EE3"/>
    <w:rsid w:val="7D553FBB"/>
    <w:rsid w:val="7E263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618</Words>
  <Characters>1023</Characters>
  <Lines>0</Lines>
  <Paragraphs>0</Paragraphs>
  <TotalTime>4</TotalTime>
  <ScaleCrop>false</ScaleCrop>
  <LinksUpToDate>false</LinksUpToDate>
  <CharactersWithSpaces>1032</CharactersWithSpaces>
  <Application>WPS Office_11.1.0.12012_F1E327BC-269C-435d-A152-05C5408002CA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2022-08-01T08:05:00Z</dcterms:created>
  <dc:creator>回忆。</dc:creator>
  <cp:lastModifiedBy>回忆。</cp:lastModifiedBy>
  <dcterms:modified xsi:type="dcterms:W3CDTF">2022-08-22T05:56:37Z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2052-11.1.0.12012</vt:lpwstr>
  </property>
  <property fmtid="{D5CDD505-2E9C-101B-9397-08002B2CF9AE}" pid="3" name="ICV">
    <vt:lpwstr>B090A7734C0B4DBE968977B0CED4FC74</vt:lpwstr>
  </property>
</Properties>
</file>