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62353">
      <w:pPr>
        <w:spacing w:before="480" w:after="480" w:line="288" w:lineRule="auto"/>
        <w:ind w:left="0"/>
      </w:pPr>
      <w:bookmarkStart w:id="7" w:name="_GoBack"/>
      <w:bookmarkEnd w:id="7"/>
      <w:r>
        <w:rPr>
          <w:rFonts w:ascii="Arial" w:hAnsi="Arial" w:eastAsia="等线" w:cs="Arial"/>
          <w:b/>
          <w:sz w:val="52"/>
        </w:rPr>
        <w:t>2025年激励优化方案</w:t>
      </w:r>
    </w:p>
    <w:p w14:paraId="32C1C94C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一、团队绩效目标与团队薪酬包（4月10日）</w:t>
      </w:r>
      <w:bookmarkEnd w:id="0"/>
    </w:p>
    <w:p w14:paraId="28A95A67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rPr>
          <w:rFonts w:ascii="Arial" w:hAnsi="Arial" w:eastAsia="等线" w:cs="Arial"/>
          <w:b/>
          <w:sz w:val="28"/>
        </w:rPr>
        <w:t>利润中心（华南/华东/华北/餐饮）</w:t>
      </w:r>
      <w:bookmarkEnd w:id="1"/>
    </w:p>
    <w:p w14:paraId="70C7005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2025年度绩效目标框架</w:t>
      </w:r>
    </w:p>
    <w:p w14:paraId="02EDBBF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公司整体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125"/>
        <w:gridCol w:w="1560"/>
        <w:gridCol w:w="840"/>
        <w:gridCol w:w="1725"/>
        <w:gridCol w:w="1410"/>
      </w:tblGrid>
      <w:tr w14:paraId="7CB42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CB5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OGSM目标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49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考核指标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270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9AD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权重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85F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指标定义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9EF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数据来源</w:t>
            </w:r>
          </w:p>
        </w:tc>
      </w:tr>
      <w:tr w14:paraId="10C78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33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Goal-利润目标</w:t>
            </w:r>
          </w:p>
          <w:p w14:paraId="098CE7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4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投资回报</w:t>
            </w:r>
          </w:p>
          <w:p w14:paraId="499E64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06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6625.6万（年度）</w:t>
            </w:r>
          </w:p>
          <w:p w14:paraId="4748F1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4C8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0DA0720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3A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实际收入-成本-业务费用-分摊费用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94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损益表“投资回报”模块</w:t>
            </w:r>
          </w:p>
          <w:p w14:paraId="3554BAB0">
            <w:pPr>
              <w:spacing w:before="120" w:after="120" w:line="288" w:lineRule="auto"/>
              <w:ind w:left="0"/>
              <w:jc w:val="left"/>
            </w:pPr>
          </w:p>
        </w:tc>
      </w:tr>
      <w:tr w14:paraId="0B7FE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FAE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70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2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公开课11000万</w:t>
            </w:r>
          </w:p>
          <w:p w14:paraId="3CEC4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内训13000万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EC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33506E2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94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53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损益表“收入”模块</w:t>
            </w:r>
          </w:p>
          <w:p w14:paraId="51D03AFB">
            <w:pPr>
              <w:spacing w:before="120" w:after="120" w:line="288" w:lineRule="auto"/>
              <w:ind w:left="0"/>
              <w:jc w:val="left"/>
            </w:pPr>
          </w:p>
        </w:tc>
      </w:tr>
      <w:tr w14:paraId="7DE7F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5A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Measurement-爆班率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5F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爆班率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FB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46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02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（超额定员开班数量 ÷ 总开班数量）×100%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AA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开课支持组统计</w:t>
            </w:r>
          </w:p>
        </w:tc>
      </w:tr>
      <w:tr w14:paraId="3980C2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D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Measurement-加购率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19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课堂加购率：</w:t>
            </w:r>
          </w:p>
          <w:p w14:paraId="53405358">
            <w:pPr>
              <w:spacing w:before="120" w:after="120" w:line="288" w:lineRule="auto"/>
              <w:ind w:left="0"/>
              <w:jc w:val="left"/>
            </w:pPr>
          </w:p>
          <w:p w14:paraId="63AFE1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D9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横向加购率≥50%且纵向加购率≥30%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F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1A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课堂加购率=课堂现场及课后一周内有加购的企业数/本课堂总企业数</w:t>
            </w:r>
          </w:p>
          <w:p w14:paraId="746F8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横向加购：课类产品的加购</w:t>
            </w:r>
          </w:p>
          <w:p w14:paraId="2A014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纵向加购：非课产品的加购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9E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运营系统数据</w:t>
            </w:r>
          </w:p>
          <w:p w14:paraId="3BDCBF4F">
            <w:pPr>
              <w:spacing w:before="120" w:after="120" w:line="288" w:lineRule="auto"/>
              <w:ind w:left="0"/>
              <w:jc w:val="left"/>
            </w:pPr>
          </w:p>
        </w:tc>
      </w:tr>
      <w:tr w14:paraId="7209F3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C3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Strategy-团队可持续</w:t>
            </w:r>
          </w:p>
          <w:p w14:paraId="754578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F3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团队人效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81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481万/人</w:t>
            </w:r>
          </w:p>
          <w:p w14:paraId="58AD62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D31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  <w:p w14:paraId="341066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62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实际收入/在岗人数</w:t>
            </w:r>
          </w:p>
          <w:p w14:paraId="3E10E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新人入职3个月内业绩贡献占比（≥15%达标）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F2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CRM+绩效系统</w:t>
            </w:r>
          </w:p>
          <w:p w14:paraId="6911B1DD">
            <w:pPr>
              <w:spacing w:before="120" w:after="120" w:line="288" w:lineRule="auto"/>
              <w:ind w:left="0"/>
              <w:jc w:val="left"/>
            </w:pPr>
          </w:p>
        </w:tc>
      </w:tr>
      <w:tr w14:paraId="191EA9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C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43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43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费率≦72.85%</w:t>
            </w:r>
          </w:p>
          <w:p w14:paraId="637A4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  <w:p w14:paraId="22D93D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CE4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088F95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5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64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财务系统</w:t>
            </w:r>
          </w:p>
        </w:tc>
      </w:tr>
    </w:tbl>
    <w:p w14:paraId="65FA0FE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华南区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1125"/>
        <w:gridCol w:w="1575"/>
        <w:gridCol w:w="840"/>
        <w:gridCol w:w="1740"/>
        <w:gridCol w:w="1425"/>
      </w:tblGrid>
      <w:tr w14:paraId="66EFE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92F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OGSM目标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898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考核指标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D5D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B77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权重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B9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指标定义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182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数据来源</w:t>
            </w:r>
          </w:p>
        </w:tc>
      </w:tr>
      <w:tr w14:paraId="75661F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FA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Goal-利润目标</w:t>
            </w:r>
          </w:p>
          <w:p w14:paraId="1123D1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84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投资回报</w:t>
            </w:r>
          </w:p>
          <w:p w14:paraId="331A6E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A9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3372.4万元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20B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2CCD88F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2C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实际收入-成本-业务费用-分摊费用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42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损益表“投资回报”模块</w:t>
            </w:r>
          </w:p>
          <w:p w14:paraId="369C2E0F">
            <w:pPr>
              <w:spacing w:before="120" w:after="120" w:line="288" w:lineRule="auto"/>
              <w:ind w:left="0"/>
              <w:jc w:val="left"/>
            </w:pPr>
          </w:p>
        </w:tc>
      </w:tr>
      <w:tr w14:paraId="6126B3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BEC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16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9E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公开课5100万</w:t>
            </w:r>
          </w:p>
          <w:p w14:paraId="343A9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内训6630万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C8A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2C32C9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CC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B7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损益表“收入”模块</w:t>
            </w:r>
          </w:p>
          <w:p w14:paraId="3094EC16">
            <w:pPr>
              <w:spacing w:before="120" w:after="120" w:line="288" w:lineRule="auto"/>
              <w:ind w:left="0"/>
              <w:jc w:val="left"/>
            </w:pPr>
          </w:p>
        </w:tc>
      </w:tr>
      <w:tr w14:paraId="7E864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8D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Measurement-爆班率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E5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爆班率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2E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933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E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（超额定员开班数量 ÷ 总开班数量）×100%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41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开课支持组统计</w:t>
            </w:r>
          </w:p>
        </w:tc>
      </w:tr>
      <w:tr w14:paraId="3416DE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EF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Measurement-加购率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6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课堂加购率：</w:t>
            </w:r>
          </w:p>
          <w:p w14:paraId="7BE609A5">
            <w:pPr>
              <w:spacing w:before="120" w:after="120" w:line="288" w:lineRule="auto"/>
              <w:ind w:left="0"/>
              <w:jc w:val="left"/>
            </w:pPr>
          </w:p>
          <w:p w14:paraId="69715F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F5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横向加购率≥50%且纵向加购率≥30%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1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DD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课堂加购率=课堂现场及课后一周内有加购的企业数/本课堂总企业数</w:t>
            </w:r>
          </w:p>
          <w:p w14:paraId="593FE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横向加购：课类产品的加购</w:t>
            </w:r>
          </w:p>
          <w:p w14:paraId="0EB90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纵向加购：非课产品的加购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B2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运营系统数据</w:t>
            </w:r>
          </w:p>
          <w:p w14:paraId="60BEEAE9">
            <w:pPr>
              <w:spacing w:before="120" w:after="120" w:line="288" w:lineRule="auto"/>
              <w:ind w:left="0"/>
              <w:jc w:val="left"/>
            </w:pPr>
          </w:p>
        </w:tc>
      </w:tr>
      <w:tr w14:paraId="7DC9C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E8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Strategy-团队可持续</w:t>
            </w:r>
          </w:p>
          <w:p w14:paraId="5E88A89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41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团队人效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9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1380万/人</w:t>
            </w:r>
          </w:p>
          <w:p w14:paraId="01BA8C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16B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3A1086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49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实际收入/在岗人数</w:t>
            </w:r>
          </w:p>
          <w:p w14:paraId="03538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新人入职3个月内业绩贡献占比（≥15%达标）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4C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CRM+绩效系统</w:t>
            </w:r>
          </w:p>
          <w:p w14:paraId="3AAD6155">
            <w:pPr>
              <w:spacing w:before="120" w:after="120" w:line="288" w:lineRule="auto"/>
              <w:ind w:left="0"/>
              <w:jc w:val="left"/>
            </w:pPr>
          </w:p>
        </w:tc>
      </w:tr>
      <w:tr w14:paraId="43CE7B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6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3A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10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费率≦71.25%</w:t>
            </w:r>
          </w:p>
          <w:p w14:paraId="532A1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  <w:p w14:paraId="5E1D32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B8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654766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AA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23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财务系统</w:t>
            </w:r>
          </w:p>
        </w:tc>
      </w:tr>
    </w:tbl>
    <w:p w14:paraId="5310E37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华东区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125"/>
        <w:gridCol w:w="1560"/>
        <w:gridCol w:w="840"/>
        <w:gridCol w:w="1725"/>
        <w:gridCol w:w="1410"/>
      </w:tblGrid>
      <w:tr w14:paraId="1761D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C24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OGSM目标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152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考核指标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78F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719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权重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8D2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指标定义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60E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数据来源</w:t>
            </w:r>
          </w:p>
        </w:tc>
      </w:tr>
      <w:tr w14:paraId="25A0E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24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Goal-利润目标</w:t>
            </w:r>
          </w:p>
          <w:p w14:paraId="4A3CD3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9E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投资回报</w:t>
            </w:r>
          </w:p>
          <w:p w14:paraId="4E3DF6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28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9460万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88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6BECDAD7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24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实际收入-成本-业务费用-分摊费用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D5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损益表“投资回报”模块</w:t>
            </w:r>
          </w:p>
          <w:p w14:paraId="40D6A0C7">
            <w:pPr>
              <w:spacing w:before="120" w:after="120" w:line="288" w:lineRule="auto"/>
              <w:ind w:left="0"/>
              <w:jc w:val="left"/>
            </w:pPr>
          </w:p>
        </w:tc>
      </w:tr>
      <w:tr w14:paraId="0E969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33C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12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94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公开课4257万</w:t>
            </w:r>
          </w:p>
          <w:p w14:paraId="795DA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内训5203万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28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6BC4D6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A4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3F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损益表“收入”模块</w:t>
            </w:r>
          </w:p>
          <w:p w14:paraId="5817D473">
            <w:pPr>
              <w:spacing w:before="120" w:after="120" w:line="288" w:lineRule="auto"/>
              <w:ind w:left="0"/>
              <w:jc w:val="left"/>
            </w:pPr>
          </w:p>
        </w:tc>
      </w:tr>
      <w:tr w14:paraId="267735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4F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Measurement-爆班率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0C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爆班率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27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94A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3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（超额定员开班数量 ÷ 总开班数量）×100%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E9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开课支持组统计</w:t>
            </w:r>
          </w:p>
        </w:tc>
      </w:tr>
      <w:tr w14:paraId="1B63EE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4C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Measurement-加购率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48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课堂加购率：</w:t>
            </w:r>
          </w:p>
          <w:p w14:paraId="14EC07E0">
            <w:pPr>
              <w:spacing w:before="120" w:after="120" w:line="288" w:lineRule="auto"/>
              <w:ind w:left="0"/>
              <w:jc w:val="left"/>
            </w:pPr>
          </w:p>
          <w:p w14:paraId="1974D0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8E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横向加购率≥50%且纵向加购率≥30%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D7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1F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课堂加购率=课堂现场及课后一周内有加购的企业数/本课堂总企业数</w:t>
            </w:r>
          </w:p>
          <w:p w14:paraId="5D0BB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横向加购：课类产品的加购</w:t>
            </w:r>
          </w:p>
          <w:p w14:paraId="412F5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纵向加购：非课产品的加购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8A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运营系统数据</w:t>
            </w:r>
          </w:p>
          <w:p w14:paraId="152F87F0">
            <w:pPr>
              <w:spacing w:before="120" w:after="120" w:line="288" w:lineRule="auto"/>
              <w:ind w:left="0"/>
              <w:jc w:val="left"/>
            </w:pPr>
          </w:p>
        </w:tc>
      </w:tr>
      <w:tr w14:paraId="18DCB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0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Strategy-团队可持续</w:t>
            </w:r>
          </w:p>
          <w:p w14:paraId="6CE34A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46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团队人效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69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1419万/人</w:t>
            </w:r>
          </w:p>
          <w:p w14:paraId="4D1AAC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51B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532DC5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36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实际收入/在岗人数</w:t>
            </w:r>
          </w:p>
          <w:p w14:paraId="65A11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新人入职3个月内业绩贡献占比（≥15%达标）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33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CRM+绩效系统</w:t>
            </w:r>
          </w:p>
          <w:p w14:paraId="46B6570E">
            <w:pPr>
              <w:spacing w:before="120" w:after="120" w:line="288" w:lineRule="auto"/>
              <w:ind w:left="0"/>
              <w:jc w:val="left"/>
            </w:pPr>
          </w:p>
        </w:tc>
      </w:tr>
      <w:tr w14:paraId="34045E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83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F7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03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费率≦71.25%</w:t>
            </w:r>
          </w:p>
          <w:p w14:paraId="154EB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  <w:p w14:paraId="39060E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3A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EE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42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财务系统</w:t>
            </w:r>
          </w:p>
        </w:tc>
      </w:tr>
    </w:tbl>
    <w:p w14:paraId="6BB94EA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华北区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125"/>
        <w:gridCol w:w="1560"/>
        <w:gridCol w:w="840"/>
        <w:gridCol w:w="1725"/>
        <w:gridCol w:w="1410"/>
      </w:tblGrid>
      <w:tr w14:paraId="04377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62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OGSM目标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2F9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考核指标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BAA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0F8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权重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E3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指标定义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512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数据来源</w:t>
            </w:r>
          </w:p>
        </w:tc>
      </w:tr>
      <w:tr w14:paraId="069DD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AB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Goal-利润目标</w:t>
            </w:r>
          </w:p>
          <w:p w14:paraId="2946E2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4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投资回报</w:t>
            </w:r>
          </w:p>
          <w:p w14:paraId="4BBDBB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D3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464.2万元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81A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13E98D3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B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实际收入-成本-业务费用-分摊费用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8C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损益表“投资回报”模块</w:t>
            </w:r>
          </w:p>
          <w:p w14:paraId="46709DD5">
            <w:pPr>
              <w:spacing w:before="120" w:after="120" w:line="288" w:lineRule="auto"/>
              <w:ind w:left="0"/>
              <w:jc w:val="left"/>
            </w:pPr>
          </w:p>
        </w:tc>
      </w:tr>
      <w:tr w14:paraId="219055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6CA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B9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28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公开课726.6万</w:t>
            </w:r>
          </w:p>
          <w:p w14:paraId="4841A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内训888万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DE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1D5E99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9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14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损益表“收入”模块</w:t>
            </w:r>
          </w:p>
          <w:p w14:paraId="4B408746">
            <w:pPr>
              <w:spacing w:before="120" w:after="120" w:line="288" w:lineRule="auto"/>
              <w:ind w:left="0"/>
              <w:jc w:val="left"/>
            </w:pPr>
          </w:p>
        </w:tc>
      </w:tr>
      <w:tr w14:paraId="73070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2E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Measurement-爆班率</w:t>
            </w:r>
          </w:p>
          <w:p w14:paraId="21E4F0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F43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爆班率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C4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8F9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06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（超额定员开班数量 ÷ 总开班数量）×100%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BB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开课支持组统计</w:t>
            </w:r>
          </w:p>
        </w:tc>
      </w:tr>
      <w:tr w14:paraId="12AA08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2C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Measurement-加购率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B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课堂加购率：</w:t>
            </w:r>
          </w:p>
          <w:p w14:paraId="5638980F">
            <w:pPr>
              <w:spacing w:before="120" w:after="120" w:line="288" w:lineRule="auto"/>
              <w:ind w:left="0"/>
              <w:jc w:val="left"/>
            </w:pPr>
          </w:p>
          <w:p w14:paraId="529D03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41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横向加购率≥50%且纵向加购率≥30%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C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EB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课堂加购率=课堂现场及课后一周内有加购的企业数/本课堂总企业数</w:t>
            </w:r>
          </w:p>
          <w:p w14:paraId="627B9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横向加购：课类产品的加购</w:t>
            </w:r>
          </w:p>
          <w:p w14:paraId="1BADB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纵向加购：非课产品的加购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32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运营系统数据</w:t>
            </w:r>
          </w:p>
          <w:p w14:paraId="67947CA6">
            <w:pPr>
              <w:spacing w:before="120" w:after="120" w:line="288" w:lineRule="auto"/>
              <w:ind w:left="0"/>
              <w:jc w:val="left"/>
            </w:pPr>
          </w:p>
        </w:tc>
      </w:tr>
      <w:tr w14:paraId="00BAEE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29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Strategy-团队可持续</w:t>
            </w:r>
          </w:p>
          <w:p w14:paraId="355F37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B3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团队人效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E0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538.2万/人</w:t>
            </w:r>
          </w:p>
          <w:p w14:paraId="777E1C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6A0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4CCBD2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F0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实际收入/在岗人数</w:t>
            </w:r>
          </w:p>
          <w:p w14:paraId="50E4F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新人入职3个月内业绩贡献占比（≥15%达标）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8F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CRM+绩效系统</w:t>
            </w:r>
          </w:p>
          <w:p w14:paraId="28B282F4">
            <w:pPr>
              <w:spacing w:before="120" w:after="120" w:line="288" w:lineRule="auto"/>
              <w:ind w:left="0"/>
              <w:jc w:val="left"/>
            </w:pPr>
          </w:p>
        </w:tc>
      </w:tr>
      <w:tr w14:paraId="66424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14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  <w:p w14:paraId="0D8F73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4F6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59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费率≦71.25%</w:t>
            </w:r>
          </w:p>
          <w:p w14:paraId="5D809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  <w:p w14:paraId="2CFEDD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4E4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6857BA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DE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0D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财务系统</w:t>
            </w:r>
          </w:p>
        </w:tc>
      </w:tr>
    </w:tbl>
    <w:p w14:paraId="611302A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125"/>
        <w:gridCol w:w="1560"/>
        <w:gridCol w:w="840"/>
        <w:gridCol w:w="1725"/>
        <w:gridCol w:w="1410"/>
      </w:tblGrid>
      <w:tr w14:paraId="62897D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64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OGSM目标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92A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考核指标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268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9BD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权重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25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指标定义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93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数据来源</w:t>
            </w:r>
          </w:p>
        </w:tc>
      </w:tr>
      <w:tr w14:paraId="52B6D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19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Goal-利润目标</w:t>
            </w:r>
          </w:p>
          <w:p w14:paraId="4BE404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52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投资回报</w:t>
            </w:r>
          </w:p>
          <w:p w14:paraId="21B8B81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8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460万元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F8D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4315CF4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65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实际收入-成本-业务费用-分摊费用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75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损益表“投资回报”模块</w:t>
            </w:r>
          </w:p>
          <w:p w14:paraId="4D427698">
            <w:pPr>
              <w:spacing w:before="120" w:after="120" w:line="288" w:lineRule="auto"/>
              <w:ind w:left="0"/>
              <w:jc w:val="left"/>
            </w:pPr>
          </w:p>
        </w:tc>
      </w:tr>
      <w:tr w14:paraId="3AF66C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517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8C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9A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1600万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E95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6DE3C9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81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A8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损益表“收入”模块</w:t>
            </w:r>
          </w:p>
          <w:p w14:paraId="0A595C41">
            <w:pPr>
              <w:spacing w:before="120" w:after="120" w:line="288" w:lineRule="auto"/>
              <w:ind w:left="0"/>
              <w:jc w:val="left"/>
            </w:pPr>
          </w:p>
        </w:tc>
      </w:tr>
      <w:tr w14:paraId="68839A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5E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Measurement-爆班率</w:t>
            </w:r>
          </w:p>
          <w:p w14:paraId="3AE491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68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爆班率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DA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008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FB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（超额定员开班数量 ÷ 总开班数量）×100%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38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开课支持组统计</w:t>
            </w:r>
          </w:p>
        </w:tc>
      </w:tr>
      <w:tr w14:paraId="6AFD55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16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Measurement-加购率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D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课堂加购率：</w:t>
            </w:r>
          </w:p>
          <w:p w14:paraId="47596BCE">
            <w:pPr>
              <w:spacing w:before="120" w:after="120" w:line="288" w:lineRule="auto"/>
              <w:ind w:left="0"/>
              <w:jc w:val="left"/>
            </w:pPr>
          </w:p>
          <w:p w14:paraId="27B3AB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4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横向加购率≥50%且纵向加购率≥30%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92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8B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课堂加购率=课堂现场及课后一周内有加购的企业数/本课堂总企业数</w:t>
            </w:r>
          </w:p>
          <w:p w14:paraId="6BAE5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横向加购：课类产品的加购</w:t>
            </w:r>
          </w:p>
          <w:p w14:paraId="58E05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纵向加购：非课产品的加购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7B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运营系统数据</w:t>
            </w:r>
          </w:p>
          <w:p w14:paraId="4F05BC33">
            <w:pPr>
              <w:spacing w:before="120" w:after="120" w:line="288" w:lineRule="auto"/>
              <w:ind w:left="0"/>
              <w:jc w:val="left"/>
            </w:pPr>
          </w:p>
        </w:tc>
      </w:tr>
      <w:tr w14:paraId="64A280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82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Strategy-团队可持续</w:t>
            </w:r>
          </w:p>
          <w:p w14:paraId="3B6412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B4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团队人效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0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349.1万/人</w:t>
            </w:r>
          </w:p>
          <w:p w14:paraId="45EDF4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108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02A461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5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实际收入/在岗人数</w:t>
            </w:r>
          </w:p>
          <w:p w14:paraId="6DFB5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新人入职3个月内业绩贡献占比（≥15%达标）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71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CRM+绩效系统</w:t>
            </w:r>
          </w:p>
          <w:p w14:paraId="032CE4C4">
            <w:pPr>
              <w:spacing w:before="120" w:after="120" w:line="288" w:lineRule="auto"/>
              <w:ind w:left="0"/>
              <w:jc w:val="left"/>
            </w:pPr>
          </w:p>
        </w:tc>
      </w:tr>
      <w:tr w14:paraId="3BF5F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D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F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63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费率≦71.25%</w:t>
            </w:r>
          </w:p>
          <w:p w14:paraId="59E1D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  <w:p w14:paraId="5F6987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D98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657A68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A1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DD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财务系统</w:t>
            </w:r>
          </w:p>
        </w:tc>
      </w:tr>
    </w:tbl>
    <w:p w14:paraId="6EFEB68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2025年薪酬包方案（区域薪酬包）</w:t>
      </w:r>
    </w:p>
    <w:p w14:paraId="5F8BC9B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华南薪酬包公式</w:t>
      </w:r>
      <w:r>
        <w:rPr>
          <w:rFonts w:ascii="Arial" w:hAnsi="Arial" w:eastAsia="等线" w:cs="Arial"/>
          <w:b/>
          <w:sz w:val="22"/>
          <w:shd w:val="clear" w:fill="F2F3F5"/>
        </w:rPr>
        <w:t xml:space="preserve"> = 投资回报×24.3%×绩效评价系数 + 超额贡献利润×20% </w:t>
      </w:r>
      <w:r>
        <w:rPr>
          <w:rFonts w:ascii="Arial" w:hAnsi="Arial" w:eastAsia="等线" w:cs="Arial"/>
          <w:b/>
          <w:sz w:val="22"/>
        </w:rPr>
        <w:t xml:space="preserve"> </w:t>
      </w:r>
    </w:p>
    <w:p w14:paraId="66E3869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华东薪酬包公式</w:t>
      </w:r>
      <w:r>
        <w:rPr>
          <w:rFonts w:ascii="Arial" w:hAnsi="Arial" w:eastAsia="等线" w:cs="Arial"/>
          <w:b/>
          <w:sz w:val="22"/>
          <w:shd w:val="clear" w:fill="F2F3F5"/>
        </w:rPr>
        <w:t xml:space="preserve"> = 投资回报×17.4%×绩效评价系数 + 超额贡献利润×20% </w:t>
      </w:r>
      <w:r>
        <w:rPr>
          <w:rFonts w:ascii="Arial" w:hAnsi="Arial" w:eastAsia="等线" w:cs="Arial"/>
          <w:b/>
          <w:sz w:val="22"/>
        </w:rPr>
        <w:t xml:space="preserve"> </w:t>
      </w:r>
    </w:p>
    <w:p w14:paraId="11D0187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华北薪酬包公式</w:t>
      </w:r>
      <w:r>
        <w:rPr>
          <w:rFonts w:ascii="Arial" w:hAnsi="Arial" w:eastAsia="等线" w:cs="Arial"/>
          <w:b/>
          <w:sz w:val="22"/>
          <w:shd w:val="clear" w:fill="F2F3F5"/>
        </w:rPr>
        <w:t xml:space="preserve"> = 投资回报×20.9%×绩效评价系数 + 超额贡献利润×20% </w:t>
      </w:r>
      <w:r>
        <w:rPr>
          <w:rFonts w:ascii="Arial" w:hAnsi="Arial" w:eastAsia="等线" w:cs="Arial"/>
          <w:b/>
          <w:sz w:val="22"/>
        </w:rPr>
        <w:t xml:space="preserve"> </w:t>
      </w:r>
    </w:p>
    <w:p w14:paraId="55B78DE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餐饮薪酬包公式</w:t>
      </w:r>
      <w:r>
        <w:rPr>
          <w:rFonts w:ascii="Arial" w:hAnsi="Arial" w:eastAsia="等线" w:cs="Arial"/>
          <w:b/>
          <w:sz w:val="22"/>
          <w:shd w:val="clear" w:fill="F2F3F5"/>
        </w:rPr>
        <w:t xml:space="preserve"> = 投资回报×55.7%×绩效评价系数 + 超额贡献利润×20% </w:t>
      </w:r>
    </w:p>
    <w:p w14:paraId="40242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（绩效评价系数：S=1.2，A=1，B=0.8，C=0.6，受到和公司兑换比例影响，同比放大或缩小。公司业绩完成好，可能超1.2，公司业绩完成不好，S可能也只有1.）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EAC8F3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13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投资回报（薪酬包关联要素）决定了可回报的上限；绩效评价影响可回报下限。导向：过程中充分市场化经营，结果上根据贡献大小分配。</w:t>
            </w:r>
          </w:p>
        </w:tc>
      </w:tr>
    </w:tbl>
    <w:p w14:paraId="6E5235D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个人奖金方案：</w:t>
      </w:r>
    </w:p>
    <w:p w14:paraId="0E1FD06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火车头个人奖金</w:t>
      </w:r>
      <w:r>
        <w:rPr>
          <w:rFonts w:ascii="Arial" w:hAnsi="Arial" w:eastAsia="等线" w:cs="Arial"/>
          <w:sz w:val="22"/>
          <w:shd w:val="clear" w:fill="F2F3F5"/>
        </w:rPr>
        <w:t xml:space="preserve"> =（ 团队总奖金包×30%）/∑（火车头绩效系数）×火车头个人绩效系数 +公司超额利润奖+公司利润奖（期权）</w:t>
      </w:r>
    </w:p>
    <w:p w14:paraId="51D0FB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其他个人奖金=</w:t>
      </w:r>
      <w:r>
        <w:rPr>
          <w:rFonts w:ascii="Arial" w:hAnsi="Arial" w:eastAsia="等线" w:cs="Arial"/>
          <w:sz w:val="22"/>
          <w:shd w:val="clear" w:fill="F2F3F5"/>
        </w:rPr>
        <w:t>（ 团队总奖金包×70%）/∑（个人绩效系数）×个人绩效系数</w:t>
      </w:r>
    </w:p>
    <w:p w14:paraId="21C32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675FFFE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color w:val="3370FF"/>
          <w:sz w:val="28"/>
        </w:rPr>
        <w:t xml:space="preserve">2. </w:t>
      </w:r>
      <w:r>
        <w:rPr>
          <w:rFonts w:ascii="Arial" w:hAnsi="Arial" w:eastAsia="等线" w:cs="Arial"/>
          <w:b/>
          <w:sz w:val="28"/>
        </w:rPr>
        <w:t>收入中心（产品组）</w:t>
      </w:r>
      <w:bookmarkEnd w:id="2"/>
    </w:p>
    <w:p w14:paraId="0BDD376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2025年度绩效目标框架（经营结果+客户价值+关键事件）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5"/>
        <w:gridCol w:w="1380"/>
        <w:gridCol w:w="810"/>
        <w:gridCol w:w="825"/>
        <w:gridCol w:w="2295"/>
        <w:gridCol w:w="1665"/>
      </w:tblGrid>
      <w:tr w14:paraId="15FD2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0E7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OGSM目标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FDA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考核指标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69A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55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权重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63B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指标定义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E30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数据来源</w:t>
            </w:r>
          </w:p>
        </w:tc>
      </w:tr>
      <w:tr w14:paraId="78F40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54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Goal-利润目标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FF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收入规模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51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公开课11000万</w:t>
            </w:r>
          </w:p>
          <w:p w14:paraId="18BDF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内训13000万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B9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304853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C2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85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损益表“收入预算”模块</w:t>
            </w:r>
          </w:p>
        </w:tc>
      </w:tr>
      <w:tr w14:paraId="5AAC04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C6B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4F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成本率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49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公开课49.9%</w:t>
            </w:r>
          </w:p>
          <w:p w14:paraId="4DB4F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内训79%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6C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47E577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6C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（成本 ÷ 实际收入）×100%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BE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成本核算表</w:t>
            </w:r>
          </w:p>
        </w:tc>
      </w:tr>
      <w:tr w14:paraId="56E8F7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F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Strategy-3+N产品矩阵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99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新产品贡献率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F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  <w:p w14:paraId="1B6840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55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4DD648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81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（新产品收入 ÷ 总产品收入）×100%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23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产品线收入报表</w:t>
            </w:r>
          </w:p>
        </w:tc>
      </w:tr>
      <w:tr w14:paraId="50CAE2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9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Measurement-爆班率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C1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爆班选题命中率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78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60%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4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1B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新增爆班课题数/新增上线课题总数（不含方案班）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5BFD4">
            <w:pPr>
              <w:spacing w:before="120" w:after="120" w:line="288" w:lineRule="auto"/>
              <w:ind w:left="0"/>
              <w:jc w:val="left"/>
            </w:pPr>
          </w:p>
        </w:tc>
      </w:tr>
      <w:tr w14:paraId="49E97B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00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Strategy-双百计划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2D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企营收≥200W的辅导老师数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3F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10人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0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B3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后端分成30%以上，企业市场价在2W-3W/天之间，能尖刀解决问题的老师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2869D">
            <w:pPr>
              <w:spacing w:before="120" w:after="120" w:line="288" w:lineRule="auto"/>
              <w:ind w:left="0"/>
              <w:jc w:val="left"/>
            </w:pPr>
          </w:p>
        </w:tc>
      </w:tr>
      <w:tr w14:paraId="4614C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900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E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3A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72.85%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B04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57C469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E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75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财务系统</w:t>
            </w:r>
          </w:p>
        </w:tc>
      </w:tr>
    </w:tbl>
    <w:p w14:paraId="51D676E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2025年薪酬包方案（区域负责人）</w:t>
      </w:r>
    </w:p>
    <w:p w14:paraId="14DA1C7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2F3F5"/>
        </w:rPr>
        <w:t xml:space="preserve">薪酬包= 收入 × 1% × 绩效评价系数 + </w:t>
      </w:r>
      <w:r>
        <w:rPr>
          <w:rFonts w:ascii="Arial" w:hAnsi="Arial" w:eastAsia="等线" w:cs="Arial"/>
          <w:b/>
          <w:sz w:val="22"/>
          <w:shd w:val="clear" w:fill="FFE928"/>
        </w:rPr>
        <w:t xml:space="preserve"> 超额贡献利润×10% </w:t>
      </w:r>
      <w:r>
        <w:rPr>
          <w:rFonts w:ascii="Arial" w:hAnsi="Arial" w:eastAsia="等线" w:cs="Arial"/>
          <w:b/>
          <w:sz w:val="22"/>
          <w:shd w:val="clear" w:fill="F2F3F5"/>
        </w:rPr>
        <w:t xml:space="preserve"> </w:t>
      </w:r>
    </w:p>
    <w:p w14:paraId="63147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（绩效评价系数：S=1.2，A=1，B=0.8，C=0.6，受到和公司兑换比例影响，同比放大或缩小。公司业绩完成好，可能超1.2，公司业绩完成不好，S可能也只有1.）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5B0554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39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收入（薪酬包关联要素）决定了可回报的上限；绩效评价影响可回报下限。导向：过程中充分市场化经营，结果上根据贡献大小分配。</w:t>
            </w:r>
          </w:p>
        </w:tc>
      </w:tr>
    </w:tbl>
    <w:p w14:paraId="4253944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个人奖金方案：</w:t>
      </w:r>
    </w:p>
    <w:p w14:paraId="46FF574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火车头个人奖金</w:t>
      </w:r>
      <w:r>
        <w:rPr>
          <w:rFonts w:ascii="Arial" w:hAnsi="Arial" w:eastAsia="等线" w:cs="Arial"/>
          <w:sz w:val="22"/>
          <w:shd w:val="clear" w:fill="F2F3F5"/>
        </w:rPr>
        <w:t xml:space="preserve"> =（ 团队总奖金包×30%）/∑（火车头绩效系数）×个人绩效系数 +公司超额利润奖+公司利润奖（期权）</w:t>
      </w:r>
    </w:p>
    <w:p w14:paraId="1C9185A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其他个人奖金=</w:t>
      </w:r>
      <w:r>
        <w:rPr>
          <w:rFonts w:ascii="Arial" w:hAnsi="Arial" w:eastAsia="等线" w:cs="Arial"/>
          <w:sz w:val="22"/>
          <w:shd w:val="clear" w:fill="F2F3F5"/>
        </w:rPr>
        <w:t>（ 团队总奖金包×70%）/∑（个人绩效系数）×个人绩效系数</w:t>
      </w:r>
    </w:p>
    <w:p w14:paraId="69D7A4B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E928"/>
        </w:rPr>
        <w:t>（需要和丹纯沟通如何定义和评价个人贡献）</w:t>
      </w:r>
    </w:p>
    <w:p w14:paraId="18ABD8D5">
      <w:pPr>
        <w:spacing w:before="120" w:after="120" w:line="288" w:lineRule="auto"/>
        <w:ind w:left="0"/>
        <w:jc w:val="left"/>
      </w:pPr>
    </w:p>
    <w:p w14:paraId="0EFC425B">
      <w:pPr>
        <w:spacing w:before="120" w:after="120" w:line="288" w:lineRule="auto"/>
        <w:ind w:left="0"/>
        <w:jc w:val="left"/>
      </w:pPr>
    </w:p>
    <w:p w14:paraId="40E7A523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color w:val="3370FF"/>
          <w:sz w:val="28"/>
        </w:rPr>
        <w:t xml:space="preserve">3. </w:t>
      </w:r>
      <w:r>
        <w:rPr>
          <w:rFonts w:ascii="Arial" w:hAnsi="Arial" w:eastAsia="等线" w:cs="Arial"/>
          <w:b/>
          <w:sz w:val="28"/>
        </w:rPr>
        <w:t>成费中心</w:t>
      </w:r>
      <w:bookmarkEnd w:id="3"/>
    </w:p>
    <w:p w14:paraId="17D8A58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2025年度绩效目标框架（经营责任：收入/费率/费用+客户价值+关键事件）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1365"/>
        <w:gridCol w:w="1650"/>
        <w:gridCol w:w="825"/>
        <w:gridCol w:w="735"/>
        <w:gridCol w:w="1890"/>
      </w:tblGrid>
      <w:tr w14:paraId="5975DC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4C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OGSM映射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662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部门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B81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考核指标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32C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C3D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权重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74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指标定义</w:t>
            </w:r>
          </w:p>
        </w:tc>
      </w:tr>
      <w:tr w14:paraId="233DAD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AF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Goal-收入</w:t>
            </w:r>
          </w:p>
        </w:tc>
        <w:tc>
          <w:tcPr>
            <w:tcW w:w="13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6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创始人社区</w:t>
            </w:r>
          </w:p>
          <w:p w14:paraId="4AA9A1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A2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B2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2580万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12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E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CEO进阶卡销售收入</w:t>
            </w:r>
          </w:p>
        </w:tc>
      </w:tr>
      <w:tr w14:paraId="391039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47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Objective-生态粘性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EEC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E6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会员活跃度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0BF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B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6C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月均活动参与率（≥70%达标）</w:t>
            </w:r>
          </w:p>
        </w:tc>
      </w:tr>
      <w:tr w14:paraId="4B570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3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Strategy-会员裂变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655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19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转介绍率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5D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2A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D0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推荐新客户占比（≥20%达标）</w:t>
            </w:r>
          </w:p>
        </w:tc>
      </w:tr>
      <w:tr w14:paraId="14D3E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9E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Goal-销卡率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B7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0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销卡率</w:t>
            </w:r>
          </w:p>
          <w:p w14:paraId="5F1E0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9CA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C5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B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实际销卡数/应销卡数（≥70%达标）</w:t>
            </w:r>
          </w:p>
        </w:tc>
      </w:tr>
      <w:tr w14:paraId="05269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8152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F5E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DD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52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19.3%</w:t>
            </w:r>
          </w:p>
          <w:p w14:paraId="2BFB4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895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14F97B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37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</w:tr>
      <w:tr w14:paraId="17A4B9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F3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23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企服支持组</w:t>
            </w:r>
          </w:p>
          <w:p w14:paraId="2BF545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97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0F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非课收入13521.0万元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A1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D7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</w:tr>
      <w:tr w14:paraId="7C286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FA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Strategy-区域覆盖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A29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7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S级企业开发成效</w:t>
            </w:r>
          </w:p>
          <w:p w14:paraId="778C8E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7C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S级企业数量（年度新增≥20家）</w:t>
            </w:r>
          </w:p>
          <w:p w14:paraId="2EFCC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S级客户成交率达到70%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3A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5366A6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0A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1.（年度实际新增S级企业数÷ 目标数）×100%</w:t>
            </w:r>
          </w:p>
          <w:p w14:paraId="7114B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2.（S级企业成交数量÷ S级企业总数量）×100%</w:t>
            </w:r>
          </w:p>
          <w:p w14:paraId="65FF429D">
            <w:pPr>
              <w:spacing w:before="120" w:after="120" w:line="288" w:lineRule="auto"/>
              <w:ind w:left="0"/>
              <w:jc w:val="left"/>
            </w:pPr>
          </w:p>
        </w:tc>
      </w:tr>
      <w:tr w14:paraId="025099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C6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Objective-品牌口碑</w:t>
            </w:r>
          </w:p>
          <w:p w14:paraId="3ADF7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12A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40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标准化产品设计完成度</w:t>
            </w:r>
          </w:p>
          <w:p w14:paraId="3EE92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  <w:p w14:paraId="7AD7A8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99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年度交付标准化产品数量（≥3个）</w:t>
            </w:r>
          </w:p>
          <w:p w14:paraId="7CF82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产品使用率（≥50%企业使用）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56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  <w:p w14:paraId="2DD20A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98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1.（年度实际交付标准产品数量÷ 目标数）×100%</w:t>
            </w:r>
          </w:p>
          <w:p w14:paraId="25CDC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2.（使用标准化产品的S级企业数量÷ S级企业总数量）×100%</w:t>
            </w:r>
          </w:p>
          <w:p w14:paraId="60FB6802">
            <w:pPr>
              <w:spacing w:before="120" w:after="120" w:line="288" w:lineRule="auto"/>
              <w:ind w:left="0"/>
              <w:jc w:val="left"/>
            </w:pPr>
          </w:p>
        </w:tc>
      </w:tr>
      <w:tr w14:paraId="4B1927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29C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F56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EF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客户满意度</w:t>
            </w:r>
          </w:p>
          <w:p w14:paraId="5229F5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57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4.8/4.5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ED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C2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S级企业满意度评分（≥4.8/5分，普通企业≥4.7/5分）</w:t>
            </w:r>
          </w:p>
        </w:tc>
      </w:tr>
      <w:tr w14:paraId="556F2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B6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Measurement-加购率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CF3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45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S级、A级企业的转化率/加购率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3C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B4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78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（S级、A级企业的加购数量÷ S级、A级企业总数量）×100%</w:t>
            </w:r>
          </w:p>
        </w:tc>
      </w:tr>
      <w:tr w14:paraId="182922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E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297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C6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  <w:p w14:paraId="0A34F3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03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费率≦0.55%</w:t>
            </w:r>
          </w:p>
          <w:p w14:paraId="17EC2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BCD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2319A7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61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</w:tr>
      <w:tr w14:paraId="4324E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42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17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76964"/>
              </w:rPr>
              <w:t>课题组（待加入）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EE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A47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60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C3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</w:tr>
      <w:tr w14:paraId="2124F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578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0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开课支持组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E0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  <w:p w14:paraId="5B1AC4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5D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公开课收入8303.6万元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14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40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</w:tr>
      <w:tr w14:paraId="0585F6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7A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Measurement-爆班率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D57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30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爆班率达成</w:t>
            </w:r>
          </w:p>
          <w:p w14:paraId="10AD8A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0C6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60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7B9AF8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1F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（超额定员开班数量 ÷ 总开班数量）×100%（目标≥80%）</w:t>
            </w:r>
          </w:p>
        </w:tc>
      </w:tr>
      <w:tr w14:paraId="528EC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8B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  <w:p w14:paraId="7F427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77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30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满班率稳定性</w:t>
            </w:r>
          </w:p>
          <w:p w14:paraId="3367F4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B4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B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  <w:p w14:paraId="49563F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E4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月度满班率波动≤5%（如70%-75%为达标）</w:t>
            </w:r>
          </w:p>
        </w:tc>
      </w:tr>
      <w:tr w14:paraId="00190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C7EC4">
            <w:pPr>
              <w:spacing w:before="120" w:after="120" w:line="288" w:lineRule="auto"/>
              <w:ind w:left="0"/>
              <w:jc w:val="left"/>
            </w:pPr>
          </w:p>
          <w:p w14:paraId="6951F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BA0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4A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销卡率</w:t>
            </w:r>
          </w:p>
          <w:p w14:paraId="44248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6C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27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86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实际销卡数/应销卡数（≥70%达标）</w:t>
            </w:r>
          </w:p>
        </w:tc>
      </w:tr>
      <w:tr w14:paraId="6E662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0C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内部知识库验收报告</w:t>
            </w:r>
          </w:p>
          <w:p w14:paraId="45D6F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A64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6E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课程标准化交付（课程运营重构）</w:t>
            </w:r>
          </w:p>
          <w:p w14:paraId="297D7B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2F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2A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0B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课程目录及SOP上线率（100%达标）</w:t>
            </w:r>
          </w:p>
          <w:p w14:paraId="15FE2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每课程配套工具包完整度（≥90%）</w:t>
            </w:r>
          </w:p>
        </w:tc>
      </w:tr>
      <w:tr w14:paraId="23A91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CAA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CEB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AF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  <w:p w14:paraId="23F8D3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2C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费率≦0.73%</w:t>
            </w:r>
          </w:p>
          <w:p w14:paraId="27587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C63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  <w:p w14:paraId="737218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ED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</w:tr>
      <w:tr w14:paraId="4DE35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F1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Goal-成本管控</w:t>
            </w:r>
          </w:p>
        </w:tc>
        <w:tc>
          <w:tcPr>
            <w:tcW w:w="13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4B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效能后台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E9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收入规模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E4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公开课11000万</w:t>
            </w:r>
          </w:p>
          <w:p w14:paraId="0FC0D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内训13000万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28A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  <w:p w14:paraId="3E81F7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1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实际收入（实际交付）</w:t>
            </w:r>
          </w:p>
        </w:tc>
      </w:tr>
      <w:tr w14:paraId="0E805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5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Strategy-效率提升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D1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CA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业财一体化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802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4F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8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业财打通60%</w:t>
            </w:r>
          </w:p>
        </w:tc>
      </w:tr>
      <w:tr w14:paraId="64119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78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Objective-协同文化</w:t>
            </w: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5DB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F6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跨部门满意度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1C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5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93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其他部门评分平均值（≥4.5分达标）</w:t>
            </w:r>
          </w:p>
        </w:tc>
      </w:tr>
      <w:tr w14:paraId="34230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69F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EB1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D1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费用控制率</w:t>
            </w:r>
          </w:p>
          <w:p w14:paraId="62898F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4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费率≦4.4%</w:t>
            </w:r>
          </w:p>
          <w:p w14:paraId="0F2AB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C27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  <w:p w14:paraId="27BFDC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2E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（实际业务费用 ÷ 预算费用）×100%</w:t>
            </w:r>
          </w:p>
        </w:tc>
      </w:tr>
    </w:tbl>
    <w:p w14:paraId="4757752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成费中心奖金包</w:t>
      </w:r>
    </w:p>
    <w:p w14:paraId="2A9D3EE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薪酬包=基础薪酬包➕ </w:t>
      </w:r>
      <w:r>
        <w:rPr>
          <w:rFonts w:ascii="Arial" w:hAnsi="Arial" w:eastAsia="等线" w:cs="Arial"/>
          <w:sz w:val="22"/>
          <w:shd w:val="clear" w:fill="FFE928"/>
        </w:rPr>
        <w:t>奖金包（超额收入/前台超额贡献利润/费用空耗增效降本✖系数✖绩效评价系数）+公司超额利润✖系数</w:t>
      </w:r>
      <w:r>
        <w:rPr>
          <w:rFonts w:ascii="Arial" w:hAnsi="Arial" w:eastAsia="等线" w:cs="Arial"/>
          <w:sz w:val="22"/>
          <w:shd w:val="clear" w:fill="F76964"/>
        </w:rPr>
        <w:t>（需要和cici老师讨论）</w:t>
      </w:r>
    </w:p>
    <w:p w14:paraId="4A16763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个人奖金方案：</w:t>
      </w:r>
    </w:p>
    <w:p w14:paraId="4958429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火车头个人奖金</w:t>
      </w:r>
      <w:r>
        <w:rPr>
          <w:rFonts w:ascii="Arial" w:hAnsi="Arial" w:eastAsia="等线" w:cs="Arial"/>
          <w:sz w:val="22"/>
          <w:shd w:val="clear" w:fill="F2F3F5"/>
        </w:rPr>
        <w:t xml:space="preserve"> =（ 团队总奖金包×30%）/∑（火车头绩效系数）×个人绩效系数 +公司超额利润奖+公司利润奖（期权）</w:t>
      </w:r>
    </w:p>
    <w:p w14:paraId="14E4EB8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其他个人奖金=</w:t>
      </w:r>
      <w:r>
        <w:rPr>
          <w:rFonts w:ascii="Arial" w:hAnsi="Arial" w:eastAsia="等线" w:cs="Arial"/>
          <w:sz w:val="22"/>
          <w:shd w:val="clear" w:fill="F2F3F5"/>
        </w:rPr>
        <w:t>（ 团队总奖金包×70%）/∑（个人绩效系数）×个人绩效系数</w:t>
      </w:r>
    </w:p>
    <w:p w14:paraId="6D5F37F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sz w:val="22"/>
        </w:rPr>
        <w:t xml:space="preserve">负责人：奖金包的30%  </w:t>
      </w:r>
    </w:p>
    <w:p w14:paraId="0B6E179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sz w:val="22"/>
        </w:rPr>
        <w:t>核心骨干：40%</w:t>
      </w:r>
    </w:p>
    <w:p w14:paraId="0BB77F4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sz w:val="22"/>
        </w:rPr>
        <w:t>全员普惠：30%</w:t>
      </w:r>
    </w:p>
    <w:p w14:paraId="3D7DDF0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sz w:val="22"/>
          <w:shd w:val="clear" w:fill="F76964"/>
        </w:rPr>
        <w:t>Cici 老师现有建议</w:t>
      </w:r>
    </w:p>
    <w:p w14:paraId="53237F8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sz w:val="22"/>
        </w:rPr>
        <w:t>个人奖金=团队基础奖金️✖个人绩效系数</w:t>
      </w:r>
    </w:p>
    <w:p w14:paraId="66EC968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sz w:val="22"/>
        </w:rPr>
        <w:t>火车头奖金=团队基础奖金️✖个人绩效系数✖火车头系数➕超额利润奖（通用）</w:t>
      </w:r>
    </w:p>
    <w:p w14:paraId="0E2F7B2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sz w:val="22"/>
        </w:rPr>
        <w:t>团队基础奖金=团队奖金➗Σ（个人绩效系数）</w:t>
      </w:r>
    </w:p>
    <w:p w14:paraId="48C417A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特殊角色奖金=XXXX</w:t>
      </w:r>
    </w:p>
    <w:p w14:paraId="4A761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1B76463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  <w:shd w:val="clear" w:fill="FFF67A"/>
        </w:rPr>
        <w:t>二、以下内容通过荣誉激励和战略奖金激励：</w:t>
      </w:r>
      <w:r>
        <w:rPr>
          <w:rFonts w:ascii="Arial" w:hAnsi="Arial" w:eastAsia="等线" w:cs="Arial"/>
          <w:b/>
          <w:sz w:val="30"/>
        </w:rPr>
        <w:t>个人分配机制</w:t>
      </w:r>
      <w:r>
        <w:rPr>
          <w:rFonts w:ascii="Arial" w:hAnsi="Arial" w:eastAsia="等线" w:cs="Arial"/>
          <w:b/>
          <w:sz w:val="30"/>
          <w:shd w:val="clear" w:fill="F76964"/>
        </w:rPr>
        <w:t>（需要设计具体发放方式）</w:t>
      </w:r>
      <w:bookmarkEnd w:id="4"/>
    </w:p>
    <w:p w14:paraId="68361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公开课班级激励</w:t>
      </w:r>
    </w:p>
    <w:p w14:paraId="034E0CF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班主任奖金</w:t>
      </w:r>
      <w:r>
        <w:rPr>
          <w:rFonts w:ascii="Arial" w:hAnsi="Arial" w:eastAsia="等线" w:cs="Arial"/>
          <w:sz w:val="22"/>
        </w:rPr>
        <w:t xml:space="preserve">：  </w:t>
      </w:r>
    </w:p>
    <w:p w14:paraId="5957713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基础奖金</w:t>
      </w:r>
      <w:r>
        <w:rPr>
          <w:rFonts w:ascii="Arial" w:hAnsi="Arial" w:eastAsia="等线" w:cs="Arial"/>
          <w:sz w:val="22"/>
        </w:rPr>
        <w:t xml:space="preserve">：班级满班即奖励 ¥3000  </w:t>
      </w:r>
      <w:r>
        <w:rPr>
          <w:rFonts w:ascii="Arial" w:hAnsi="Arial" w:eastAsia="等线" w:cs="Arial"/>
          <w:sz w:val="22"/>
          <w:shd w:val="clear" w:fill="F76964"/>
        </w:rPr>
        <w:t>（需要具体测算）</w:t>
      </w:r>
      <w:r>
        <w:rPr>
          <w:rFonts w:ascii="Arial" w:hAnsi="Arial" w:eastAsia="等线" w:cs="Arial"/>
          <w:sz w:val="22"/>
        </w:rPr>
        <w:t>——荣誉激励</w:t>
      </w:r>
    </w:p>
    <w:p w14:paraId="6D26854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爆班激励</w:t>
      </w:r>
      <w:r>
        <w:rPr>
          <w:rFonts w:ascii="Arial" w:hAnsi="Arial" w:eastAsia="等线" w:cs="Arial"/>
          <w:sz w:val="22"/>
        </w:rPr>
        <w:t>：每超额定员1人，额外奖励 ¥300（封顶 ¥5000/班）  ——荣誉激励</w:t>
      </w:r>
    </w:p>
    <w:p w14:paraId="3726490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非会员来源人奖金</w:t>
      </w:r>
      <w:r>
        <w:rPr>
          <w:rFonts w:ascii="Arial" w:hAnsi="Arial" w:eastAsia="等线" w:cs="Arial"/>
          <w:sz w:val="22"/>
        </w:rPr>
        <w:t>：  课程单价提成3%（如 ¥4000课程提 ¥120）  ——荣誉激励</w:t>
      </w:r>
    </w:p>
    <w:p w14:paraId="03711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0DA71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内训咨询订单分配</w:t>
      </w:r>
      <w:r>
        <w:rPr>
          <w:rFonts w:ascii="Arial" w:hAnsi="Arial" w:eastAsia="等线" w:cs="Arial"/>
          <w:b/>
          <w:sz w:val="22"/>
          <w:shd w:val="clear" w:fill="F76964"/>
        </w:rPr>
        <w:t>（按利润还是销售金额百分比待讨论）</w:t>
      </w:r>
    </w:p>
    <w:p w14:paraId="29A6D7E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线索奖金</w:t>
      </w:r>
      <w:r>
        <w:rPr>
          <w:rFonts w:ascii="Arial" w:hAnsi="Arial" w:eastAsia="等线" w:cs="Arial"/>
          <w:sz w:val="22"/>
        </w:rPr>
        <w:t xml:space="preserve">：提供有效线索并成交，奖励订单金额的 </w:t>
      </w:r>
      <w:r>
        <w:rPr>
          <w:rFonts w:ascii="Arial" w:hAnsi="Arial" w:eastAsia="等线" w:cs="Arial"/>
          <w:b/>
          <w:sz w:val="22"/>
        </w:rPr>
        <w:t>2%</w:t>
      </w:r>
      <w:r>
        <w:rPr>
          <w:rFonts w:ascii="Arial" w:hAnsi="Arial" w:eastAsia="等线" w:cs="Arial"/>
          <w:sz w:val="22"/>
        </w:rPr>
        <w:t xml:space="preserve"> </w:t>
      </w:r>
    </w:p>
    <w:p w14:paraId="48ACC49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转化奖金</w:t>
      </w:r>
      <w:r>
        <w:rPr>
          <w:rFonts w:ascii="Arial" w:hAnsi="Arial" w:eastAsia="等线" w:cs="Arial"/>
          <w:sz w:val="22"/>
        </w:rPr>
        <w:t xml:space="preserve">：促成签约的销售提成 </w:t>
      </w:r>
      <w:r>
        <w:rPr>
          <w:rFonts w:ascii="Arial" w:hAnsi="Arial" w:eastAsia="等线" w:cs="Arial"/>
          <w:b/>
          <w:sz w:val="22"/>
        </w:rPr>
        <w:t>5%</w:t>
      </w:r>
      <w:r>
        <w:rPr>
          <w:rFonts w:ascii="Arial" w:hAnsi="Arial" w:eastAsia="等线" w:cs="Arial"/>
          <w:sz w:val="22"/>
        </w:rPr>
        <w:t xml:space="preserve">  </w:t>
      </w:r>
    </w:p>
    <w:p w14:paraId="77A2BA9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项目管理奖金</w:t>
      </w:r>
      <w:r>
        <w:rPr>
          <w:rFonts w:ascii="Arial" w:hAnsi="Arial" w:eastAsia="等线" w:cs="Arial"/>
          <w:sz w:val="22"/>
        </w:rPr>
        <w:t xml:space="preserve">：方案设计与执行团队分配 3%（按贡献比例拆分）  </w:t>
      </w:r>
    </w:p>
    <w:p w14:paraId="7E2E95CB">
      <w:pPr>
        <w:spacing w:before="120" w:after="120" w:line="288" w:lineRule="auto"/>
        <w:ind w:left="0"/>
        <w:jc w:val="left"/>
      </w:pPr>
    </w:p>
    <w:p w14:paraId="15AE3968">
      <w:pPr>
        <w:spacing w:before="120" w:after="120" w:line="288" w:lineRule="auto"/>
        <w:ind w:left="0"/>
        <w:jc w:val="left"/>
      </w:pPr>
    </w:p>
    <w:p w14:paraId="1C253A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E928"/>
        </w:rPr>
        <w:t>以下可作为过程一次性奖励，从战略奖金支撑：学习卡销售分配规则（与企业损益表挂钩）创始人卡是否需要调整（或放绩效评价）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3210"/>
        <w:gridCol w:w="3345"/>
      </w:tblGrid>
      <w:tr w14:paraId="7A856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5E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F5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企业卡（98,000元）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12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76964"/>
              </w:rPr>
              <w:t>创始人卡（25,800元）</w:t>
            </w:r>
          </w:p>
        </w:tc>
      </w:tr>
      <w:tr w14:paraId="289D06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6D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来源人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37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单卡奖励：98,000×3% = 2,940元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A1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76964"/>
              </w:rPr>
              <w:t>单卡奖励：25,800×8% = 2,064元</w:t>
            </w:r>
          </w:p>
        </w:tc>
      </w:tr>
      <w:tr w14:paraId="12220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BE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转卡人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A7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单卡奖励：98,000×1.5% = 1,470元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27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76964"/>
              </w:rPr>
              <w:t>单卡奖励：25,800×3.6% = 929元</w:t>
            </w:r>
          </w:p>
        </w:tc>
      </w:tr>
    </w:tbl>
    <w:p w14:paraId="05CA84CE">
      <w:pPr>
        <w:numPr>
          <w:ilvl w:val="0"/>
          <w:numId w:val="43"/>
        </w:numPr>
        <w:spacing w:before="120" w:after="120" w:line="288" w:lineRule="auto"/>
        <w:ind w:left="0"/>
        <w:jc w:val="left"/>
      </w:pPr>
    </w:p>
    <w:p w14:paraId="24255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76964"/>
        </w:rPr>
        <w:t>3. 项目奖金和荣誉奖金（待议）</w:t>
      </w:r>
    </w:p>
    <w:p w14:paraId="665C5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62358E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三、执行规则与风控</w:t>
      </w:r>
      <w:bookmarkEnd w:id="5"/>
    </w:p>
    <w:p w14:paraId="43D196B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团队人数管控</w:t>
      </w:r>
      <w:r>
        <w:rPr>
          <w:rFonts w:ascii="Arial" w:hAnsi="Arial" w:eastAsia="等线" w:cs="Arial"/>
          <w:sz w:val="22"/>
        </w:rPr>
        <w:t xml:space="preserve">：  </w:t>
      </w:r>
    </w:p>
    <w:p w14:paraId="2D8EB73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区域团队人数增长率≤营收增长率（如营收增长20%，团队最多扩编15%）。  </w:t>
      </w:r>
    </w:p>
    <w:p w14:paraId="6D825092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超额扩编需CEO特批，且人力成本占比不得超标。  </w:t>
      </w:r>
    </w:p>
    <w:p w14:paraId="7A73DEB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</w:t>
      </w:r>
      <w:r>
        <w:rPr>
          <w:rFonts w:ascii="Arial" w:hAnsi="Arial" w:eastAsia="等线" w:cs="Arial"/>
          <w:b/>
          <w:sz w:val="22"/>
        </w:rPr>
        <w:t>看板</w:t>
      </w:r>
      <w:r>
        <w:rPr>
          <w:rFonts w:ascii="Arial" w:hAnsi="Arial" w:eastAsia="等线" w:cs="Arial"/>
          <w:sz w:val="22"/>
        </w:rPr>
        <w:t>：  实时展示各中心贡献利润、满班率、费用空耗率等核心指标（飞书多维表格+BI工具）。</w:t>
      </w:r>
    </w:p>
    <w:p w14:paraId="3EB9799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奖金模拟器</w:t>
      </w:r>
      <w:r>
        <w:rPr>
          <w:rFonts w:ascii="Arial" w:hAnsi="Arial" w:eastAsia="等线" w:cs="Arial"/>
          <w:sz w:val="22"/>
        </w:rPr>
        <w:t xml:space="preserve">：  开发内部工具，员工可输入业绩数据预估奖金（提升透明度）。   </w:t>
      </w:r>
    </w:p>
    <w:p w14:paraId="21D4CC4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新人培养机制</w:t>
      </w:r>
      <w:r>
        <w:rPr>
          <w:rFonts w:ascii="Arial" w:hAnsi="Arial" w:eastAsia="等线" w:cs="Arial"/>
          <w:sz w:val="22"/>
        </w:rPr>
        <w:t xml:space="preserve">：  </w:t>
      </w:r>
    </w:p>
    <w:p w14:paraId="511785F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新人3个月内由导师带教，导师获取新人业绩的 </w:t>
      </w:r>
      <w:r>
        <w:rPr>
          <w:rFonts w:ascii="Arial" w:hAnsi="Arial" w:eastAsia="等线" w:cs="Arial"/>
          <w:b/>
          <w:sz w:val="22"/>
        </w:rPr>
        <w:t>1%</w:t>
      </w:r>
      <w:r>
        <w:rPr>
          <w:rFonts w:ascii="Arial" w:hAnsi="Arial" w:eastAsia="等线" w:cs="Arial"/>
          <w:sz w:val="22"/>
        </w:rPr>
        <w:t xml:space="preserve"> 作为奖励。  </w:t>
      </w:r>
    </w:p>
    <w:p w14:paraId="2CACD21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未达标团队扣减 </w:t>
      </w:r>
      <w:r>
        <w:rPr>
          <w:rFonts w:ascii="Arial" w:hAnsi="Arial" w:eastAsia="等线" w:cs="Arial"/>
          <w:b/>
          <w:sz w:val="22"/>
        </w:rPr>
        <w:t>团队效能奖金</w:t>
      </w:r>
      <w:r>
        <w:rPr>
          <w:rFonts w:ascii="Arial" w:hAnsi="Arial" w:eastAsia="等线" w:cs="Arial"/>
          <w:sz w:val="22"/>
        </w:rPr>
        <w:t xml:space="preserve"> 的50%。  </w:t>
      </w:r>
    </w:p>
    <w:p w14:paraId="2063DD8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财务联动规则</w:t>
      </w:r>
      <w:r>
        <w:rPr>
          <w:rFonts w:ascii="Arial" w:hAnsi="Arial" w:eastAsia="等线" w:cs="Arial"/>
          <w:sz w:val="22"/>
        </w:rPr>
        <w:t xml:space="preserve">：  </w:t>
      </w:r>
      <w:r>
        <w:rPr>
          <w:rFonts w:ascii="Arial" w:hAnsi="Arial" w:eastAsia="等线" w:cs="Arial"/>
          <w:b/>
          <w:sz w:val="22"/>
        </w:rPr>
        <w:t>利润兜底</w:t>
      </w:r>
      <w:r>
        <w:rPr>
          <w:rFonts w:ascii="Arial" w:hAnsi="Arial" w:eastAsia="等线" w:cs="Arial"/>
          <w:sz w:val="22"/>
        </w:rPr>
        <w:t xml:space="preserve">：若公司整体净利润未达目标，所有奖金包按缺口比例下调（如净利润完成80%，奖金包同步×80%）。  </w:t>
      </w:r>
    </w:p>
    <w:p w14:paraId="69515CA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退出机制</w:t>
      </w:r>
      <w:r>
        <w:rPr>
          <w:rFonts w:ascii="Arial" w:hAnsi="Arial" w:eastAsia="等线" w:cs="Arial"/>
          <w:sz w:val="22"/>
        </w:rPr>
        <w:t>：连续两季度绩效低于70%的管理者，启动岗位调整或培训计划。</w:t>
      </w:r>
    </w:p>
    <w:p w14:paraId="1CE2F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B2DD7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654DAA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四、示例计算（华南区域）</w:t>
      </w:r>
      <w:bookmarkEnd w:id="6"/>
    </w:p>
    <w:p w14:paraId="1B6F7AD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假设数据</w:t>
      </w:r>
      <w:r>
        <w:rPr>
          <w:rFonts w:ascii="Arial" w:hAnsi="Arial" w:eastAsia="等线" w:cs="Arial"/>
          <w:sz w:val="22"/>
        </w:rPr>
        <w:t xml:space="preserve">：  </w:t>
      </w:r>
    </w:p>
    <w:p w14:paraId="0F901C61">
      <w:pPr>
        <w:numPr>
          <w:ilvl w:val="0"/>
          <w:numId w:val="55"/>
        </w:numPr>
        <w:spacing w:before="120" w:after="120" w:line="288" w:lineRule="auto"/>
        <w:ind w:left="0"/>
        <w:jc w:val="left"/>
      </w:pPr>
    </w:p>
    <w:p w14:paraId="7FF3C10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奖金包计算</w:t>
      </w:r>
      <w:r>
        <w:rPr>
          <w:rFonts w:ascii="Arial" w:hAnsi="Arial" w:eastAsia="等线" w:cs="Arial"/>
          <w:sz w:val="22"/>
        </w:rPr>
        <w:t xml:space="preserve">：  </w:t>
      </w:r>
    </w:p>
    <w:p w14:paraId="3A57D2EF">
      <w:pPr>
        <w:numPr>
          <w:ilvl w:val="0"/>
          <w:numId w:val="57"/>
        </w:numPr>
        <w:spacing w:before="120" w:after="120" w:line="288" w:lineRule="auto"/>
        <w:ind w:left="0"/>
        <w:jc w:val="left"/>
      </w:pPr>
    </w:p>
    <w:p w14:paraId="5EA23FE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分配示例</w:t>
      </w:r>
      <w:r>
        <w:rPr>
          <w:rFonts w:ascii="Arial" w:hAnsi="Arial" w:eastAsia="等线" w:cs="Arial"/>
          <w:sz w:val="22"/>
        </w:rPr>
        <w:t xml:space="preserve">：  </w:t>
      </w:r>
    </w:p>
    <w:p w14:paraId="6FDB2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D4FC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738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22D85CA"/>
    <w:multiLevelType w:val="singleLevel"/>
    <w:tmpl w:val="322D85C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C3D7A74"/>
    <w:multiLevelType w:val="singleLevel"/>
    <w:tmpl w:val="4C3D7A7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7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5CD0074"/>
    <w:multiLevelType w:val="singleLevel"/>
    <w:tmpl w:val="65CD007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2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5"/>
  </w:num>
  <w:num w:numId="4">
    <w:abstractNumId w:val="13"/>
  </w:num>
  <w:num w:numId="5">
    <w:abstractNumId w:val="9"/>
  </w:num>
  <w:num w:numId="6">
    <w:abstractNumId w:val="25"/>
  </w:num>
  <w:num w:numId="7">
    <w:abstractNumId w:val="33"/>
  </w:num>
  <w:num w:numId="8">
    <w:abstractNumId w:val="52"/>
  </w:num>
  <w:num w:numId="9">
    <w:abstractNumId w:val="24"/>
  </w:num>
  <w:num w:numId="10">
    <w:abstractNumId w:val="5"/>
  </w:num>
  <w:num w:numId="11">
    <w:abstractNumId w:val="34"/>
  </w:num>
  <w:num w:numId="12">
    <w:abstractNumId w:val="46"/>
  </w:num>
  <w:num w:numId="13">
    <w:abstractNumId w:val="14"/>
  </w:num>
  <w:num w:numId="14">
    <w:abstractNumId w:val="42"/>
  </w:num>
  <w:num w:numId="15">
    <w:abstractNumId w:val="21"/>
  </w:num>
  <w:num w:numId="16">
    <w:abstractNumId w:val="32"/>
  </w:num>
  <w:num w:numId="17">
    <w:abstractNumId w:val="18"/>
  </w:num>
  <w:num w:numId="18">
    <w:abstractNumId w:val="17"/>
  </w:num>
  <w:num w:numId="19">
    <w:abstractNumId w:val="7"/>
  </w:num>
  <w:num w:numId="20">
    <w:abstractNumId w:val="40"/>
  </w:num>
  <w:num w:numId="21">
    <w:abstractNumId w:val="49"/>
  </w:num>
  <w:num w:numId="22">
    <w:abstractNumId w:val="28"/>
  </w:num>
  <w:num w:numId="23">
    <w:abstractNumId w:val="39"/>
  </w:num>
  <w:num w:numId="24">
    <w:abstractNumId w:val="8"/>
  </w:num>
  <w:num w:numId="25">
    <w:abstractNumId w:val="56"/>
  </w:num>
  <w:num w:numId="26">
    <w:abstractNumId w:val="54"/>
  </w:num>
  <w:num w:numId="27">
    <w:abstractNumId w:val="12"/>
  </w:num>
  <w:num w:numId="28">
    <w:abstractNumId w:val="50"/>
  </w:num>
  <w:num w:numId="29">
    <w:abstractNumId w:val="6"/>
  </w:num>
  <w:num w:numId="30">
    <w:abstractNumId w:val="38"/>
  </w:num>
  <w:num w:numId="31">
    <w:abstractNumId w:val="2"/>
  </w:num>
  <w:num w:numId="32">
    <w:abstractNumId w:val="44"/>
  </w:num>
  <w:num w:numId="33">
    <w:abstractNumId w:val="57"/>
  </w:num>
  <w:num w:numId="34">
    <w:abstractNumId w:val="0"/>
  </w:num>
  <w:num w:numId="35">
    <w:abstractNumId w:val="31"/>
  </w:num>
  <w:num w:numId="36">
    <w:abstractNumId w:val="43"/>
  </w:num>
  <w:num w:numId="37">
    <w:abstractNumId w:val="22"/>
  </w:num>
  <w:num w:numId="38">
    <w:abstractNumId w:val="19"/>
  </w:num>
  <w:num w:numId="39">
    <w:abstractNumId w:val="35"/>
  </w:num>
  <w:num w:numId="40">
    <w:abstractNumId w:val="55"/>
  </w:num>
  <w:num w:numId="41">
    <w:abstractNumId w:val="11"/>
  </w:num>
  <w:num w:numId="42">
    <w:abstractNumId w:val="4"/>
  </w:num>
  <w:num w:numId="43">
    <w:abstractNumId w:val="10"/>
  </w:num>
  <w:num w:numId="44">
    <w:abstractNumId w:val="47"/>
  </w:num>
  <w:num w:numId="45">
    <w:abstractNumId w:val="1"/>
  </w:num>
  <w:num w:numId="46">
    <w:abstractNumId w:val="29"/>
  </w:num>
  <w:num w:numId="47">
    <w:abstractNumId w:val="3"/>
  </w:num>
  <w:num w:numId="48">
    <w:abstractNumId w:val="48"/>
  </w:num>
  <w:num w:numId="49">
    <w:abstractNumId w:val="53"/>
  </w:num>
  <w:num w:numId="50">
    <w:abstractNumId w:val="41"/>
  </w:num>
  <w:num w:numId="51">
    <w:abstractNumId w:val="36"/>
  </w:num>
  <w:num w:numId="52">
    <w:abstractNumId w:val="51"/>
  </w:num>
  <w:num w:numId="53">
    <w:abstractNumId w:val="26"/>
  </w:num>
  <w:num w:numId="54">
    <w:abstractNumId w:val="27"/>
  </w:num>
  <w:num w:numId="55">
    <w:abstractNumId w:val="16"/>
  </w:num>
  <w:num w:numId="56">
    <w:abstractNumId w:val="37"/>
  </w:num>
  <w:num w:numId="57">
    <w:abstractNumId w:val="30"/>
  </w:num>
  <w:num w:numId="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8B5C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3500</Words>
  <Characters>4474</Characters>
  <TotalTime>0</TotalTime>
  <ScaleCrop>false</ScaleCrop>
  <LinksUpToDate>false</LinksUpToDate>
  <CharactersWithSpaces>4608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2025-04-16T06:28:00Z</dcterms:created>
  <dc:creator>Apache POI</dc:creator>
  <cp:lastModifiedBy>com</cp:lastModifiedBy>
  <dcterms:modified xsi:type="dcterms:W3CDTF">2025-04-16T06:34:29Z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eyJoZGlkIjoiMDdkYmRjZjE2NjMyNzYzN2IzNWVlMWFlYWQwNjM1NDMiLCJ1c2VySWQiOiIzODUyMjc1NzcifQ==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BF565073A4D841D3A146007BDA4F59CF_12</vt:lpwstr>
  </property>
</Properties>
</file>