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F86FEBD">
      <w:pPr>
        <w:pStyle w:val="style1"/>
        <w:spacing w:before="0" w:beforeAutospacing="false" w:after="0" w:afterAutospacing="false" w:lineRule="auto" w:line="360"/>
        <w:jc w:val="center"/>
        <w:rPr>
          <w:rFonts w:ascii="仿宋_GB2312" w:cs="仿宋_GB2312" w:eastAsia="仿宋_GB2312" w:hAnsi="仿宋_GB2312" w:hint="eastAsia"/>
          <w:sz w:val="32"/>
          <w:szCs w:val="32"/>
        </w:rPr>
      </w:pPr>
      <w:r>
        <w:rPr>
          <w:rFonts w:ascii="仿宋_GB2312" w:cs="仿宋_GB2312" w:eastAsia="仿宋_GB2312" w:hAnsi="仿宋_GB2312" w:hint="eastAsia"/>
          <w:sz w:val="32"/>
          <w:szCs w:val="32"/>
        </w:rPr>
        <w:t>高维投资（深圳）有限责任公司</w:t>
      </w:r>
    </w:p>
    <w:p w14:paraId="252BC362">
      <w:pPr>
        <w:pStyle w:val="style1"/>
        <w:spacing w:before="0" w:beforeAutospacing="false" w:after="0" w:afterAutospacing="false" w:lineRule="auto" w:line="360"/>
        <w:jc w:val="center"/>
        <w:rPr>
          <w:rFonts w:hint="eastAsia"/>
          <w:sz w:val="32"/>
          <w:szCs w:val="32"/>
        </w:rPr>
      </w:pPr>
      <w:r>
        <w:rPr>
          <w:rFonts w:ascii="仿宋_GB2312" w:cs="仿宋_GB2312" w:eastAsia="仿宋_GB2312" w:hAnsi="仿宋_GB2312" w:hint="eastAsia"/>
          <w:sz w:val="32"/>
          <w:szCs w:val="32"/>
        </w:rPr>
        <w:t>股东会决议</w:t>
      </w:r>
    </w:p>
    <w:p w14:paraId="41F20707">
      <w:pPr>
        <w:pStyle w:val="style94"/>
        <w:keepNext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beforeAutospacing="false" w:after="0" w:afterAutospacing="false" w:lineRule="auto" w:line="360"/>
        <w:ind w:firstLine="480" w:firstLineChars="200"/>
        <w:jc w:val="both"/>
        <w:textAlignment w:val="auto"/>
        <w:rPr>
          <w:rFonts w:ascii="仿宋_GB2312" w:cs="仿宋_GB2312" w:eastAsia="仿宋_GB2312" w:hAnsi="仿宋_GB2312" w:hint="eastAsia"/>
          <w:color w:val="000000"/>
        </w:rPr>
      </w:pPr>
      <w:r>
        <w:rPr>
          <w:rFonts w:ascii="仿宋_GB2312" w:cs="仿宋_GB2312" w:eastAsia="仿宋_GB2312" w:hAnsi="仿宋_GB2312" w:hint="eastAsia"/>
          <w:color w:val="000000"/>
        </w:rPr>
        <w:t>根据《中华人民共和国公司法》第五十九条的规定</w:t>
      </w:r>
      <w:r>
        <w:rPr>
          <w:rFonts w:ascii="仿宋_GB2312" w:cs="仿宋_GB2312" w:eastAsia="仿宋_GB2312" w:hAnsi="仿宋_GB2312" w:hint="eastAsia"/>
          <w:color w:val="000000"/>
          <w:lang w:eastAsia="zh-CN"/>
        </w:rPr>
        <w:t>，</w:t>
      </w:r>
      <w:r>
        <w:rPr>
          <w:rFonts w:ascii="仿宋_GB2312" w:cs="仿宋_GB2312" w:eastAsia="仿宋_GB2312" w:hAnsi="仿宋_GB2312" w:hint="eastAsia"/>
          <w:color w:val="000000"/>
        </w:rPr>
        <w:t>股东</w:t>
      </w:r>
      <w:r>
        <w:rPr>
          <w:rFonts w:ascii="仿宋_GB2312" w:cs="仿宋_GB2312" w:eastAsia="仿宋_GB2312" w:hAnsi="仿宋_GB2312" w:hint="eastAsia"/>
          <w:color w:val="000000"/>
          <w:lang w:eastAsia="zh-CN"/>
        </w:rPr>
        <w:t>林传科、刘伟、林慧余、刘发军</w:t>
      </w:r>
      <w:r>
        <w:rPr>
          <w:rFonts w:ascii="仿宋_GB2312" w:cs="仿宋_GB2312" w:eastAsia="仿宋_GB2312" w:hAnsi="仿宋_GB2312" w:hint="eastAsia"/>
          <w:color w:val="000000"/>
        </w:rPr>
        <w:t>以书面形式，一致同意以下决议：</w:t>
      </w:r>
    </w:p>
    <w:p w14:paraId="650802A1">
      <w:pPr>
        <w:pStyle w:val="style94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beforeAutospacing="false" w:after="0" w:afterAutospacing="false" w:lineRule="auto" w:line="360"/>
        <w:ind w:firstLine="482" w:firstLineChars="200"/>
        <w:jc w:val="both"/>
        <w:textAlignment w:val="auto"/>
        <w:rPr>
          <w:rFonts w:ascii="仿宋_GB2312" w:cs="仿宋_GB2312" w:eastAsia="仿宋_GB2312" w:hAnsi="仿宋_GB2312" w:hint="eastAsia"/>
          <w:b/>
          <w:bCs/>
          <w:color w:val="000000"/>
          <w:lang w:val="en-US" w:eastAsia="zh-CN"/>
        </w:rPr>
      </w:pPr>
      <w:r>
        <w:rPr>
          <w:rFonts w:ascii="仿宋_GB2312" w:cs="仿宋_GB2312" w:eastAsia="仿宋_GB2312" w:hAnsi="仿宋_GB2312" w:hint="eastAsia"/>
          <w:b/>
          <w:bCs/>
          <w:color w:val="000000"/>
        </w:rPr>
        <w:t>通过</w:t>
      </w:r>
      <w:bookmarkStart w:id="0" w:name="_GoBack"/>
      <w:bookmarkEnd w:id="0"/>
      <w:r>
        <w:rPr>
          <w:rFonts w:ascii="仿宋_GB2312" w:cs="仿宋_GB2312" w:eastAsia="仿宋_GB2312" w:hAnsi="仿宋_GB2312" w:hint="eastAsia"/>
          <w:b/>
          <w:bCs/>
          <w:color w:val="000000"/>
        </w:rPr>
        <w:t>高维投资（深圳）有限责任公司</w:t>
      </w:r>
      <w:r>
        <w:rPr>
          <w:rFonts w:ascii="仿宋_GB2312" w:cs="仿宋_GB2312" w:eastAsia="仿宋_GB2312" w:hAnsi="仿宋_GB2312" w:hint="eastAsia"/>
          <w:b/>
          <w:bCs/>
          <w:color w:val="000000"/>
          <w:lang w:eastAsia="zh-CN"/>
        </w:rPr>
        <w:t>（</w:t>
      </w:r>
      <w:r>
        <w:rPr>
          <w:rFonts w:ascii="仿宋_GB2312" w:cs="仿宋_GB2312" w:eastAsia="仿宋_GB2312" w:hAnsi="仿宋_GB2312" w:hint="eastAsia"/>
          <w:b/>
          <w:bCs/>
          <w:color w:val="000000"/>
          <w:lang w:val="en-US" w:eastAsia="zh-CN"/>
        </w:rPr>
        <w:t>以下简称“高维投资”）股权架构调整</w:t>
      </w:r>
      <w:r>
        <w:rPr>
          <w:rFonts w:ascii="仿宋_GB2312" w:cs="仿宋_GB2312" w:eastAsia="仿宋_GB2312" w:hAnsi="仿宋_GB2312" w:hint="eastAsia"/>
          <w:b/>
          <w:bCs/>
          <w:color w:val="000000"/>
        </w:rPr>
        <w:t>方案</w:t>
      </w:r>
      <w:r>
        <w:rPr>
          <w:rFonts w:ascii="仿宋_GB2312" w:cs="仿宋_GB2312" w:eastAsia="仿宋_GB2312" w:hAnsi="仿宋_GB2312" w:hint="eastAsia"/>
          <w:b/>
          <w:bCs/>
          <w:color w:val="000000"/>
          <w:lang w:eastAsia="zh-CN"/>
        </w:rPr>
        <w:t>，</w:t>
      </w:r>
      <w:r>
        <w:rPr>
          <w:rFonts w:ascii="仿宋_GB2312" w:cs="仿宋_GB2312" w:eastAsia="仿宋_GB2312" w:hAnsi="仿宋_GB2312" w:hint="eastAsia"/>
          <w:b/>
          <w:bCs/>
          <w:color w:val="000000"/>
        </w:rPr>
        <w:t>方案主要内容为：</w:t>
      </w:r>
    </w:p>
    <w:p w14:paraId="671E7407">
      <w:pPr>
        <w:pStyle w:val="style94"/>
        <w:keepNext w:val="false"/>
        <w:keepLines w:val="false"/>
        <w:pageBreakBefore w:val="false"/>
        <w:widowControl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beforeAutospacing="false" w:after="0" w:afterAutospacing="false" w:lineRule="auto" w:line="360"/>
        <w:ind w:firstLine="480" w:firstLineChars="200"/>
        <w:jc w:val="both"/>
        <w:textAlignment w:val="auto"/>
        <w:rPr>
          <w:rFonts w:ascii="仿宋_GB2312" w:cs="仿宋_GB2312" w:eastAsia="仿宋_GB2312" w:hAnsi="仿宋_GB2312" w:hint="default"/>
          <w:color w:val="000000"/>
          <w:lang w:val="en-US" w:eastAsia="zh-CN"/>
        </w:rPr>
      </w:pPr>
      <w:r>
        <w:rPr>
          <w:rFonts w:ascii="仿宋_GB2312" w:cs="仿宋_GB2312" w:eastAsia="仿宋_GB2312" w:hAnsi="仿宋_GB2312" w:hint="eastAsia"/>
          <w:color w:val="000000"/>
          <w:lang w:val="en-US" w:eastAsia="zh-CN"/>
        </w:rPr>
        <w:t>（一）林传科将其所持有高维投资44.75%的股权以【      】元转让给深圳市高思企业管理咨询有限公司；</w:t>
      </w:r>
    </w:p>
    <w:p w14:paraId="6EF418C1">
      <w:pPr>
        <w:pStyle w:val="style94"/>
        <w:keepNext w:val="false"/>
        <w:keepLines w:val="false"/>
        <w:pageBreakBefore w:val="false"/>
        <w:widowControl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beforeAutospacing="false" w:after="0" w:afterAutospacing="false" w:lineRule="auto" w:line="360"/>
        <w:ind w:firstLine="480" w:firstLineChars="200"/>
        <w:jc w:val="both"/>
        <w:textAlignment w:val="auto"/>
        <w:rPr>
          <w:rFonts w:ascii="仿宋_GB2312" w:cs="仿宋_GB2312" w:eastAsia="仿宋_GB2312" w:hAnsi="仿宋_GB2312" w:hint="eastAsia"/>
          <w:color w:val="000000"/>
          <w:lang w:val="en-US" w:eastAsia="zh-CN"/>
        </w:rPr>
      </w:pPr>
      <w:r>
        <w:rPr>
          <w:rFonts w:ascii="仿宋_GB2312" w:cs="仿宋_GB2312" w:eastAsia="仿宋_GB2312" w:hAnsi="仿宋_GB2312" w:hint="eastAsia"/>
          <w:color w:val="000000"/>
          <w:lang w:val="en-US" w:eastAsia="zh-CN"/>
        </w:rPr>
        <w:t>（二）刘伟将其所持有高维投资19.2%的股权以【      】元转让给深圳市先发优势企业管理咨询服务有限公司；</w:t>
      </w:r>
    </w:p>
    <w:p w14:paraId="11B598CC">
      <w:pPr>
        <w:pStyle w:val="style94"/>
        <w:keepNext w:val="false"/>
        <w:keepLines w:val="false"/>
        <w:pageBreakBefore w:val="false"/>
        <w:widowControl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beforeAutospacing="false" w:after="0" w:afterAutospacing="false" w:lineRule="auto" w:line="360"/>
        <w:ind w:firstLine="480" w:firstLineChars="200"/>
        <w:jc w:val="both"/>
        <w:textAlignment w:val="auto"/>
        <w:rPr>
          <w:rFonts w:ascii="仿宋_GB2312" w:cs="仿宋_GB2312" w:eastAsia="仿宋_GB2312" w:hAnsi="仿宋_GB2312" w:hint="eastAsia"/>
          <w:color w:val="000000"/>
          <w:lang w:val="en-US" w:eastAsia="zh-CN"/>
        </w:rPr>
      </w:pPr>
      <w:r>
        <w:rPr>
          <w:rFonts w:ascii="仿宋_GB2312" w:cs="仿宋_GB2312" w:eastAsia="仿宋_GB2312" w:hAnsi="仿宋_GB2312" w:hint="eastAsia"/>
          <w:color w:val="000000"/>
          <w:lang w:val="en-US" w:eastAsia="zh-CN"/>
        </w:rPr>
        <w:t>（三）刘发军将其所持有高维投资15.6%的股权以【      】元转让给深圳实干邦咨询有限公司；</w:t>
      </w:r>
    </w:p>
    <w:p w14:paraId="348C6DB3">
      <w:pPr>
        <w:pStyle w:val="style94"/>
        <w:keepNext w:val="false"/>
        <w:keepLines w:val="false"/>
        <w:pageBreakBefore w:val="false"/>
        <w:widowControl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beforeAutospacing="false" w:after="0" w:afterAutospacing="false" w:lineRule="auto" w:line="360"/>
        <w:ind w:firstLine="480" w:firstLineChars="200"/>
        <w:jc w:val="both"/>
        <w:textAlignment w:val="auto"/>
        <w:rPr>
          <w:rFonts w:ascii="仿宋_GB2312" w:cs="仿宋_GB2312" w:eastAsia="仿宋_GB2312" w:hAnsi="仿宋_GB2312" w:hint="default"/>
          <w:color w:val="000000"/>
          <w:lang w:val="en-US" w:eastAsia="zh-CN"/>
        </w:rPr>
      </w:pPr>
      <w:r>
        <w:rPr>
          <w:rFonts w:ascii="仿宋_GB2312" w:cs="仿宋_GB2312" w:eastAsia="仿宋_GB2312" w:hAnsi="仿宋_GB2312" w:hint="eastAsia"/>
          <w:color w:val="000000"/>
          <w:lang w:val="en-US" w:eastAsia="zh-CN"/>
        </w:rPr>
        <w:t>（四）林慧余将其所持有高维投资20.45%的股权以【      】元转让给核心合伙人持股平台；</w:t>
      </w:r>
    </w:p>
    <w:p w14:paraId="32057B55">
      <w:pPr>
        <w:pStyle w:val="style94"/>
        <w:keepNext w:val="false"/>
        <w:keepLines w:val="false"/>
        <w:pageBreakBefore w:val="false"/>
        <w:widowControl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beforeAutospacing="false" w:after="0" w:afterAutospacing="false" w:lineRule="auto" w:line="360"/>
        <w:ind w:firstLine="480" w:firstLineChars="200"/>
        <w:jc w:val="both"/>
        <w:textAlignment w:val="auto"/>
        <w:rPr>
          <w:rFonts w:ascii="仿宋_GB2312" w:cs="仿宋_GB2312" w:eastAsia="仿宋_GB2312" w:hAnsi="仿宋_GB2312" w:hint="default"/>
          <w:color w:val="000000"/>
          <w:lang w:val="en-US" w:eastAsia="zh-CN"/>
        </w:rPr>
      </w:pPr>
      <w:r>
        <w:rPr>
          <w:rFonts w:ascii="仿宋_GB2312" w:cs="仿宋_GB2312" w:eastAsia="仿宋_GB2312" w:hAnsi="仿宋_GB2312" w:hint="eastAsia"/>
          <w:color w:val="000000"/>
          <w:lang w:val="en-US" w:eastAsia="zh-CN"/>
        </w:rPr>
        <w:t>（五）林慧余将作为有限合伙人，通过核心合伙人持股平台间接持有高维投资5.633975%的股权（即间接持有高维信息技术（深圳）有限公司4%的股权）。</w:t>
      </w:r>
    </w:p>
    <w:p w14:paraId="4090491D">
      <w:pPr>
        <w:pStyle w:val="style94"/>
        <w:keepNext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beforeAutospacing="false" w:after="0" w:afterAutospacing="false" w:lineRule="auto" w:line="360"/>
        <w:ind w:firstLine="480" w:firstLineChars="200"/>
        <w:jc w:val="both"/>
        <w:textAlignment w:val="auto"/>
        <w:rPr>
          <w:rFonts w:ascii="仿宋_GB2312" w:cs="仿宋_GB2312" w:eastAsia="仿宋_GB2312" w:hAnsi="仿宋_GB2312" w:hint="eastAsia"/>
          <w:color w:val="000000"/>
          <w:lang w:val="en-US" w:eastAsia="zh-CN"/>
        </w:rPr>
      </w:pPr>
      <w:r>
        <w:rPr>
          <w:rFonts w:ascii="仿宋_GB2312" w:cs="仿宋_GB2312" w:eastAsia="仿宋_GB2312" w:hAnsi="仿宋_GB2312" w:hint="eastAsia"/>
          <w:color w:val="000000"/>
          <w:lang w:val="en-US" w:eastAsia="zh-CN"/>
        </w:rPr>
        <w:t>以上所列事项，股东以书面形式一致表示同意。</w:t>
      </w:r>
    </w:p>
    <w:p w14:paraId="165BC453">
      <w:pPr>
        <w:pStyle w:val="style94"/>
        <w:spacing w:before="0" w:beforeAutospacing="false" w:after="0" w:afterAutospacing="false" w:lineRule="auto" w:line="360"/>
        <w:jc w:val="right"/>
        <w:rPr>
          <w:rFonts w:ascii="仿宋_GB2312" w:cs="仿宋_GB2312" w:eastAsia="仿宋_GB2312" w:hAnsi="仿宋_GB2312" w:hint="eastAsia"/>
          <w:color w:val="000000"/>
          <w:sz w:val="24"/>
        </w:rPr>
        <w:sectPr>
          <w:headerReference w:type="default" r:id="rId2"/>
          <w:footerReference w:type="default" r:id="rId3"/>
          <w:pgSz w:w="11906" w:h="16838"/>
          <w:pgMar w:top="1440" w:right="1800" w:bottom="1440" w:left="1800" w:header="720" w:footer="720" w:gutter="0"/>
          <w:pgNumType w:fmt="decimal"/>
          <w:cols w:space="720" w:num="1"/>
        </w:sectPr>
      </w:pPr>
    </w:p>
    <w:p w14:paraId="2A70335F">
      <w:pPr>
        <w:pStyle w:val="style94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beforeAutospacing="false" w:after="0" w:afterAutospacing="false" w:lineRule="auto" w:line="360"/>
        <w:ind w:firstLine="480" w:firstLineChars="200"/>
        <w:jc w:val="center"/>
        <w:textAlignment w:val="auto"/>
        <w:rPr>
          <w:rFonts w:ascii="仿宋_GB2312" w:cs="仿宋_GB2312" w:eastAsia="仿宋_GB2312" w:hAnsi="仿宋_GB2312" w:hint="eastAsia"/>
          <w:color w:val="000000"/>
          <w:lang w:val="en-US" w:eastAsia="zh-CN"/>
        </w:rPr>
      </w:pPr>
      <w:r>
        <w:rPr>
          <w:rFonts w:ascii="仿宋_GB2312" w:cs="仿宋_GB2312" w:eastAsia="仿宋_GB2312" w:hAnsi="仿宋_GB2312" w:hint="eastAsia"/>
          <w:color w:val="000000"/>
          <w:lang w:val="en-US" w:eastAsia="zh-CN"/>
        </w:rPr>
        <w:t>（本页为签署页，无正文）</w:t>
      </w:r>
    </w:p>
    <w:p w14:paraId="640C1A81">
      <w:pPr>
        <w:pStyle w:val="style94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beforeAutospacing="false" w:after="0" w:afterAutospacing="false" w:lineRule="auto" w:line="360"/>
        <w:ind w:firstLine="480" w:firstLineChars="200"/>
        <w:jc w:val="both"/>
        <w:textAlignment w:val="auto"/>
        <w:rPr>
          <w:rFonts w:ascii="仿宋_GB2312" w:cs="仿宋_GB2312" w:eastAsia="仿宋_GB2312" w:hAnsi="仿宋_GB2312" w:hint="eastAsia"/>
          <w:color w:val="000000"/>
          <w:lang w:val="en-US" w:eastAsia="zh-CN"/>
        </w:rPr>
      </w:pPr>
      <w:r>
        <w:rPr>
          <w:rFonts w:ascii="仿宋_GB2312" w:cs="仿宋_GB2312" w:eastAsia="仿宋_GB2312" w:hAnsi="仿宋_GB2312" w:hint="eastAsia"/>
          <w:color w:val="000000"/>
          <w:lang w:val="en-US" w:eastAsia="zh-CN"/>
        </w:rPr>
        <w:t>股东签署：</w:t>
      </w:r>
    </w:p>
    <w:p w14:paraId="464F8DE1">
      <w:pPr>
        <w:pStyle w:val="style94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beforeAutospacing="false" w:after="0" w:afterAutospacing="false" w:lineRule="auto" w:line="360"/>
        <w:ind w:firstLine="480" w:firstLineChars="200"/>
        <w:jc w:val="both"/>
        <w:textAlignment w:val="auto"/>
        <w:rPr>
          <w:rFonts w:ascii="仿宋_GB2312" w:cs="仿宋_GB2312" w:eastAsia="仿宋_GB2312" w:hAnsi="仿宋_GB2312" w:hint="eastAsia"/>
          <w:color w:val="000000"/>
          <w:lang w:val="en-US" w:eastAsia="zh-CN"/>
        </w:rPr>
      </w:pPr>
      <w:r>
        <w:rPr>
          <w:rFonts w:ascii="仿宋_GB2312" w:cs="仿宋_GB2312" w:eastAsia="仿宋_GB2312" w:hAnsi="仿宋_GB2312" w:hint="eastAsia"/>
          <w:color w:val="000000"/>
          <w:sz w:val="24"/>
          <w:lang w:val="en-US" w:eastAsia="zh-CN"/>
        </w:rPr>
        <w:t>林传科</w:t>
      </w:r>
      <w:r>
        <w:rPr>
          <w:rFonts w:ascii="仿宋_GB2312" w:cs="仿宋_GB2312" w:eastAsia="仿宋_GB2312" w:hAnsi="仿宋_GB2312" w:hint="eastAsia"/>
          <w:color w:val="000000"/>
          <w:lang w:val="en-US" w:eastAsia="zh-CN"/>
        </w:rPr>
        <w:t>（签字）：_________</w:t>
      </w:r>
    </w:p>
    <w:p w14:paraId="4BB24873">
      <w:pPr>
        <w:pStyle w:val="style94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beforeAutospacing="false" w:after="0" w:afterAutospacing="false" w:lineRule="auto" w:line="360"/>
        <w:ind w:firstLine="480" w:firstLineChars="200"/>
        <w:jc w:val="both"/>
        <w:textAlignment w:val="auto"/>
        <w:rPr>
          <w:rFonts w:ascii="仿宋_GB2312" w:cs="仿宋_GB2312" w:eastAsia="仿宋_GB2312" w:hAnsi="仿宋_GB2312" w:hint="eastAsia"/>
          <w:color w:val="000000"/>
          <w:lang w:val="en-US" w:eastAsia="zh-CN"/>
        </w:rPr>
      </w:pPr>
      <w:r>
        <w:rPr>
          <w:rFonts w:ascii="仿宋_GB2312" w:cs="仿宋_GB2312" w:eastAsia="仿宋_GB2312" w:hAnsi="仿宋_GB2312" w:hint="eastAsia"/>
          <w:color w:val="000000"/>
          <w:lang w:val="en-US" w:eastAsia="zh-CN"/>
        </w:rPr>
        <w:t>日期：     年     月    日</w:t>
      </w:r>
    </w:p>
    <w:p w14:paraId="1AE9CA4B">
      <w:pPr>
        <w:pStyle w:val="style94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beforeAutospacing="false" w:after="0" w:afterAutospacing="false" w:lineRule="auto" w:line="360"/>
        <w:ind w:firstLine="480" w:firstLineChars="200"/>
        <w:jc w:val="both"/>
        <w:textAlignment w:val="auto"/>
        <w:rPr>
          <w:rFonts w:ascii="仿宋_GB2312" w:cs="仿宋_GB2312" w:eastAsia="仿宋_GB2312" w:hAnsi="仿宋_GB2312" w:hint="eastAsia"/>
          <w:color w:val="000000"/>
          <w:lang w:val="en-US" w:eastAsia="zh-CN"/>
        </w:rPr>
      </w:pPr>
    </w:p>
    <w:p w14:paraId="2877DD71">
      <w:pPr>
        <w:pStyle w:val="style94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beforeAutospacing="false" w:after="0" w:afterAutospacing="false" w:lineRule="auto" w:line="360"/>
        <w:ind w:firstLine="480" w:firstLineChars="200"/>
        <w:jc w:val="both"/>
        <w:textAlignment w:val="auto"/>
        <w:rPr>
          <w:rFonts w:ascii="仿宋_GB2312" w:cs="仿宋_GB2312" w:eastAsia="仿宋_GB2312" w:hAnsi="仿宋_GB2312" w:hint="eastAsia"/>
          <w:color w:val="000000"/>
          <w:lang w:val="en-US" w:eastAsia="zh-CN"/>
        </w:rPr>
      </w:pPr>
      <w:r>
        <w:rPr>
          <w:rFonts w:ascii="仿宋_GB2312" w:cs="仿宋_GB2312" w:eastAsia="仿宋_GB2312" w:hAnsi="仿宋_GB2312" w:hint="eastAsia"/>
          <w:color w:val="000000"/>
          <w:sz w:val="24"/>
          <w:lang w:val="en-US" w:eastAsia="zh-CN"/>
        </w:rPr>
        <w:t>刘伟</w:t>
      </w:r>
      <w:r>
        <w:rPr>
          <w:rFonts w:ascii="仿宋_GB2312" w:cs="仿宋_GB2312" w:eastAsia="仿宋_GB2312" w:hAnsi="仿宋_GB2312" w:hint="eastAsia"/>
          <w:color w:val="000000"/>
          <w:lang w:val="en-US" w:eastAsia="zh-CN"/>
        </w:rPr>
        <w:t>（签字）：_________</w:t>
      </w:r>
    </w:p>
    <w:p w14:paraId="348BE02A">
      <w:pPr>
        <w:pStyle w:val="style94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beforeAutospacing="false" w:after="0" w:afterAutospacing="false" w:lineRule="auto" w:line="360"/>
        <w:ind w:firstLine="480" w:firstLineChars="200"/>
        <w:jc w:val="both"/>
        <w:textAlignment w:val="auto"/>
        <w:rPr>
          <w:rFonts w:ascii="仿宋_GB2312" w:cs="仿宋_GB2312" w:eastAsia="仿宋_GB2312" w:hAnsi="仿宋_GB2312" w:hint="eastAsia"/>
          <w:color w:val="000000"/>
          <w:lang w:val="en-US" w:eastAsia="zh-CN"/>
        </w:rPr>
      </w:pPr>
      <w:r>
        <w:rPr>
          <w:rFonts w:ascii="仿宋_GB2312" w:cs="仿宋_GB2312" w:eastAsia="仿宋_GB2312" w:hAnsi="仿宋_GB2312" w:hint="eastAsia"/>
          <w:color w:val="000000"/>
          <w:lang w:val="en-US" w:eastAsia="zh-CN"/>
        </w:rPr>
        <w:t>日期：     年     月    日</w:t>
      </w:r>
    </w:p>
    <w:p w14:paraId="03D9C7D3">
      <w:pPr>
        <w:pStyle w:val="style0"/>
        <w:rPr/>
      </w:pPr>
    </w:p>
    <w:p w14:paraId="15F522EB">
      <w:pPr>
        <w:pStyle w:val="style94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beforeAutospacing="false" w:after="0" w:afterAutospacing="false" w:lineRule="auto" w:line="360"/>
        <w:ind w:firstLine="480" w:firstLineChars="200"/>
        <w:jc w:val="both"/>
        <w:textAlignment w:val="auto"/>
        <w:rPr>
          <w:rFonts w:ascii="仿宋_GB2312" w:cs="仿宋_GB2312" w:eastAsia="仿宋_GB2312" w:hAnsi="仿宋_GB2312" w:hint="eastAsia"/>
          <w:color w:val="000000"/>
          <w:lang w:val="en-US" w:eastAsia="zh-CN"/>
        </w:rPr>
      </w:pPr>
      <w:r>
        <w:rPr>
          <w:rFonts w:ascii="仿宋_GB2312" w:cs="仿宋_GB2312" w:eastAsia="仿宋_GB2312" w:hAnsi="仿宋_GB2312" w:hint="eastAsia"/>
          <w:color w:val="000000"/>
          <w:sz w:val="24"/>
          <w:lang w:val="en-US" w:eastAsia="zh-CN"/>
        </w:rPr>
        <w:t>林慧余</w:t>
      </w:r>
      <w:r>
        <w:rPr>
          <w:rFonts w:ascii="仿宋_GB2312" w:cs="仿宋_GB2312" w:eastAsia="仿宋_GB2312" w:hAnsi="仿宋_GB2312" w:hint="eastAsia"/>
          <w:color w:val="000000"/>
          <w:lang w:val="en-US" w:eastAsia="zh-CN"/>
        </w:rPr>
        <w:t>（签字）：_________</w:t>
      </w:r>
    </w:p>
    <w:p w14:paraId="7A408BCD">
      <w:pPr>
        <w:pStyle w:val="style94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beforeAutospacing="false" w:after="0" w:afterAutospacing="false" w:lineRule="auto" w:line="360"/>
        <w:ind w:firstLine="480" w:firstLineChars="200"/>
        <w:jc w:val="both"/>
        <w:textAlignment w:val="auto"/>
        <w:rPr>
          <w:rFonts w:ascii="仿宋_GB2312" w:cs="仿宋_GB2312" w:eastAsia="仿宋_GB2312" w:hAnsi="仿宋_GB2312" w:hint="eastAsia"/>
          <w:color w:val="000000"/>
          <w:lang w:val="en-US" w:eastAsia="zh-CN"/>
        </w:rPr>
      </w:pPr>
      <w:r>
        <w:rPr>
          <w:rFonts w:ascii="仿宋_GB2312" w:cs="仿宋_GB2312" w:eastAsia="仿宋_GB2312" w:hAnsi="仿宋_GB2312" w:hint="eastAsia"/>
          <w:color w:val="000000"/>
          <w:lang w:val="en-US" w:eastAsia="zh-CN"/>
        </w:rPr>
        <w:t>日期：     年     月    日</w:t>
      </w:r>
    </w:p>
    <w:p w14:paraId="5E2532E5">
      <w:pPr>
        <w:pStyle w:val="style94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beforeAutospacing="false" w:after="0" w:afterAutospacing="false" w:lineRule="auto" w:line="360"/>
        <w:ind w:firstLine="480" w:firstLineChars="200"/>
        <w:jc w:val="both"/>
        <w:textAlignment w:val="auto"/>
        <w:rPr>
          <w:rFonts w:ascii="仿宋_GB2312" w:cs="仿宋_GB2312" w:eastAsia="仿宋_GB2312" w:hAnsi="仿宋_GB2312" w:hint="eastAsia"/>
          <w:color w:val="000000"/>
          <w:lang w:val="en-US" w:eastAsia="zh-CN"/>
        </w:rPr>
      </w:pPr>
    </w:p>
    <w:p w14:paraId="3ABCEF70">
      <w:pPr>
        <w:pStyle w:val="style94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beforeAutospacing="false" w:after="0" w:afterAutospacing="false" w:lineRule="auto" w:line="360"/>
        <w:ind w:firstLine="480" w:firstLineChars="200"/>
        <w:jc w:val="both"/>
        <w:textAlignment w:val="auto"/>
        <w:rPr>
          <w:rFonts w:ascii="仿宋_GB2312" w:cs="仿宋_GB2312" w:eastAsia="仿宋_GB2312" w:hAnsi="仿宋_GB2312" w:hint="eastAsia"/>
          <w:color w:val="000000"/>
          <w:lang w:val="en-US" w:eastAsia="zh-CN"/>
        </w:rPr>
      </w:pPr>
      <w:r>
        <w:rPr>
          <w:rFonts w:ascii="仿宋_GB2312" w:cs="仿宋_GB2312" w:eastAsia="仿宋_GB2312" w:hAnsi="仿宋_GB2312" w:hint="eastAsia"/>
          <w:color w:val="000000"/>
          <w:sz w:val="24"/>
          <w:lang w:val="en-US" w:eastAsia="zh-CN"/>
        </w:rPr>
        <w:t>刘发军</w:t>
      </w:r>
      <w:r>
        <w:rPr>
          <w:rFonts w:ascii="仿宋_GB2312" w:cs="仿宋_GB2312" w:eastAsia="仿宋_GB2312" w:hAnsi="仿宋_GB2312" w:hint="eastAsia"/>
          <w:color w:val="000000"/>
          <w:lang w:val="en-US" w:eastAsia="zh-CN"/>
        </w:rPr>
        <w:t>（签字）：_________</w:t>
      </w:r>
    </w:p>
    <w:p w14:paraId="389F9400">
      <w:pPr>
        <w:pStyle w:val="style94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beforeAutospacing="false" w:after="0" w:afterAutospacing="false" w:lineRule="auto" w:line="360"/>
        <w:ind w:firstLine="480" w:firstLineChars="200"/>
        <w:jc w:val="both"/>
        <w:textAlignment w:val="auto"/>
        <w:rPr>
          <w:rFonts w:ascii="仿宋_GB2312" w:cs="仿宋_GB2312" w:eastAsia="仿宋_GB2312" w:hAnsi="仿宋_GB2312" w:hint="eastAsia"/>
          <w:color w:val="000000"/>
          <w:lang w:val="en-US" w:eastAsia="zh-CN"/>
        </w:rPr>
      </w:pPr>
      <w:r>
        <w:rPr>
          <w:rFonts w:ascii="仿宋_GB2312" w:cs="仿宋_GB2312" w:eastAsia="仿宋_GB2312" w:hAnsi="仿宋_GB2312" w:hint="eastAsia"/>
          <w:color w:val="000000"/>
          <w:lang w:val="en-US" w:eastAsia="zh-CN"/>
        </w:rPr>
        <w:t>日期：     年     月    日</w:t>
      </w:r>
    </w:p>
    <w:sectPr>
      <w:pgSz w:w="11906" w:h="16838"/>
      <w:pgMar w:top="1440" w:right="1800" w:bottom="1440" w:left="1800" w:header="720" w:footer="720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409020002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002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2010609060001010101"/>
    <w:charset w:val="86"/>
    <w:family w:val="auto"/>
    <w:pitch w:val="default"/>
    <w:sig w:usb0="00000000" w:usb1="00000000" w:usb2="00000016" w:usb3="00000000" w:csb0="00040001" w:csb1="00000000"/>
  </w:font>
  <w:font w:name="汉仪书宋二KW">
    <w:altName w:val="汉仪书宋二KW"/>
    <w:panose1 w:val="00020600040001010101"/>
    <w:charset w:val="86"/>
    <w:family w:val="auto"/>
    <w:pitch w:val="default"/>
    <w:sig w:usb0="A00002BF" w:usb1="18EF7CFA" w:usb2="00000016" w:usb3="00000000" w:csb0="00040000" w:csb1="00000000"/>
  </w:font>
  <w:font w:name="方正仿宋_GBK">
    <w:altName w:val="方正仿宋_GBK"/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altName w:val="汉仪中黑KW"/>
    <w:panose1 w:val="00020600040001010101"/>
    <w:charset w:val="86"/>
    <w:family w:val="auto"/>
    <w:pitch w:val="default"/>
    <w:sig w:usb0="A00002BF" w:usb1="18EF7CFA" w:usb2="00000016" w:usb3="00000000" w:csb0="00040000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26324316">
    <w:pPr>
      <w:pStyle w:val="style32"/>
      <w:rPr/>
    </w:pPr>
    <w:r>
      <w:rPr>
        <w:sz w:val="18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828800" cy="1828800"/>
                      </a:xfrm>
                      <a:prstGeom prst="rect"/>
                      <a:ln>
                        <a:noFill/>
                      </a:ln>
                    </wps:spPr>
                    <wps:txbx id="4097">
                      <w:txbxContent>
                        <w:p w14:paraId="21745571">
                          <w:pPr>
                            <w:pStyle w:val="style0"/>
                            <w:snapToGrid w:val="fals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页 共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lIns="0" rIns="0" tIns="0" bIns="0" vert="horz" anchor="t" wrap="none" upright="false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4097" filled="f" stroked="f" style="position:absolute;margin-left:0.0pt;margin-top:0.0pt;width:144.0pt;height:144.0pt;z-index:2;mso-position-horizontal:center;mso-position-horizontal-relative:margin;mso-position-vertical-relative:text;mso-width-relative:page;mso-height-relative:page;mso-wrap-distance-left:0.0pt;mso-wrap-distance-right:0.0pt;visibility:visible;mso-wrap-style:none;">
              <v:stroke on="f" weight="0.5pt"/>
              <v:fill/>
              <v:textbox inset="0.0pt,0.0pt,0.0pt,0.0pt" style="mso-fit-shape-to-text:true;">
                <w:txbxContent>
                  <w:p w14:paraId="21745571">
                    <w:pPr>
                      <w:pStyle w:val="style0"/>
                      <w:snapToGrid w:val="fals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第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页 共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2288F28C">
    <w:pPr>
      <w:pStyle w:val="style31"/>
      <w:jc w:val="right"/>
      <w:rPr>
        <w:rFonts w:ascii="仿宋" w:cs="仿宋" w:eastAsia="仿宋" w:hAnsi="仿宋" w:hint="eastAsia"/>
        <w:sz w:val="21"/>
        <w:szCs w:val="21"/>
        <w:lang w:val="en-US" w:eastAsia="zh-CN"/>
      </w:rPr>
    </w:pPr>
    <w:r>
      <w:rPr>
        <w:rFonts w:ascii="仿宋" w:cs="仿宋" w:eastAsia="仿宋" w:hAnsi="仿宋" w:hint="eastAsia"/>
        <w:sz w:val="21"/>
        <w:szCs w:val="21"/>
        <w:lang w:val="en-US" w:eastAsia="zh-CN"/>
      </w:rPr>
      <w:t>（2025）投第02号股东会决议</w:t>
    </w:r>
  </w:p>
  <w:p w14:paraId="31CF3FAF"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73"/>
  <w:doNotDisplayPageBoundaries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/>
    <w:rPr>
      <w:rFonts w:ascii="Times New Roman" w:cs="Times New Roman" w:eastAsia="宋体" w:hAnsi="Times New Roman"/>
      <w:sz w:val="24"/>
    </w:rPr>
  </w:style>
  <w:style w:type="paragraph" w:styleId="style1">
    <w:name w:val="heading 1"/>
    <w:basedOn w:val="style0"/>
    <w:next w:val="style0"/>
    <w:qFormat/>
    <w:uiPriority w:val="9"/>
    <w:pPr>
      <w:keepLines/>
      <w:spacing w:before="280" w:beforeAutospacing="false" w:after="280" w:afterAutospacing="false"/>
      <w:jc w:val="center"/>
      <w:outlineLvl w:val="9"/>
    </w:pPr>
    <w:rPr>
      <w:b/>
      <w:color w:val="000000"/>
      <w:sz w:val="48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2">
    <w:name w:val="footer"/>
    <w:basedOn w:val="style0"/>
    <w:next w:val="style32"/>
    <w:qFormat/>
    <w:uiPriority w:val="0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</w:rPr>
  </w:style>
  <w:style w:type="paragraph" w:styleId="style31">
    <w:name w:val="header"/>
    <w:basedOn w:val="style0"/>
    <w:next w:val="style31"/>
    <w:qFormat/>
    <w:uiPriority w:val="0"/>
    <w:pPr>
      <w:pBdr>
        <w:left w:val="none" w:sz="0" w:space="4" w:color="auto"/>
        <w:right w:val="none" w:sz="0" w:space="4" w:color="auto"/>
        <w:top w:val="none" w:sz="0" w:space="1" w:color="auto"/>
        <w:bottom w:val="none" w:sz="0" w:space="1" w:color="auto"/>
      </w:pBdr>
      <w:tabs>
        <w:tab w:val="center" w:leader="none" w:pos="4153"/>
        <w:tab w:val="right" w:leader="none" w:pos="8306"/>
      </w:tabs>
      <w:snapToGrid w:val="false"/>
      <w:spacing w:lineRule="auto" w:line="240"/>
      <w:jc w:val="both"/>
      <w:outlineLvl w:val="9"/>
    </w:pPr>
    <w:rPr>
      <w:sz w:val="18"/>
    </w:rPr>
  </w:style>
  <w:style w:type="paragraph" w:styleId="style94">
    <w:name w:val="Normal (Web)"/>
    <w:basedOn w:val="style0"/>
    <w:next w:val="style94"/>
    <w:qFormat/>
    <w:uiPriority w:val="99"/>
    <w:pPr>
      <w:spacing w:before="100" w:beforeAutospacing="true" w:after="100" w:afterAutospacing="true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Words>458</Words>
  <Pages>2</Pages>
  <Characters>521</Characters>
  <Application>WPS Office</Application>
  <DocSecurity>0</DocSecurity>
  <Paragraphs>31</Paragraphs>
  <ScaleCrop>false</ScaleCrop>
  <LinksUpToDate>false</LinksUpToDate>
  <CharactersWithSpaces>606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2025-03-04T12:51:00Z</dcterms:created>
  <dc:creator>大成</dc:creator>
  <lastModifiedBy>ALN-AL00</lastModifiedBy>
  <dcterms:modified xsi:type="dcterms:W3CDTF">2025-03-15T07:02:39Z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8074C02CC65439C54C92C267AE3FDE99_41</vt:lpwstr>
  </property>
</Properties>
</file>