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eastAsia"/>
          <w:sz w:val="28"/>
          <w:szCs w:val="36"/>
          <w:lang w:val="en-US" w:eastAsia="zh-CN"/>
        </w:rPr>
      </w:pPr>
      <w:bookmarkStart w:id="0" w:name="_GoBack"/>
      <w:bookmarkEnd w:id="0"/>
      <w:r>
        <w:rPr>
          <w:rFonts w:hint="eastAsia"/>
          <w:sz w:val="24"/>
          <w:szCs w:val="32"/>
          <w:lang w:val="en-US" w:eastAsia="zh-CN"/>
        </w:rPr>
        <w:t>初始访谈框架内容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咨询师自我介绍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来访者自我介绍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询问此时咨询的动机，之前是否有过咨询经验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反馈来访的正向资源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咨询目标、咨询方案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咨询设置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20" w:firstLineChars="175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咨询频率为一周一次，固定时间咨询。时间为60分钟，迟到一般情况下不补，咨询师迟到会补足，请假需要提前48小时，否则会扣取当次费用。确认是否有疑问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20" w:firstLineChars="175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付费，咨询后当天微信或支付宝转帐即可，500元/次；夫妻咨询为750元/次。确认是否有疑问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20" w:firstLineChars="175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保密原则，不录音不录相，如有督导或教学需要，会提前与来访确认，签署知情同意书，并且于督导后将录音文件销毁删除；保密例外，自杀他杀自伤他伤情况，紧急联系人。确认是否有疑问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20" w:firstLineChars="175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建立关系、咨询主体、处理分离。确认是否有疑问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咨询协议及确定每周的固定咨询时间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8186B23"/>
    <w:multiLevelType w:val="singleLevel"/>
    <w:tmpl w:val="D8186B2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3F19FA11"/>
    <w:multiLevelType w:val="singleLevel"/>
    <w:tmpl w:val="3F19FA1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441269"/>
    <w:rsid w:val="0982419C"/>
    <w:rsid w:val="24422D93"/>
    <w:rsid w:val="34C23A15"/>
    <w:rsid w:val="7A441269"/>
    <w:rsid w:val="EFF7B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Office_3.9.1.6204_F1E327BC-269C-435d-A152-05C5408002CA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2021-09-16T22:34:00Z</dcterms:created>
  <dc:creator>江珊❁</dc:creator>
  <cp:lastModifiedBy>liuwei</cp:lastModifiedBy>
  <dcterms:modified xsi:type="dcterms:W3CDTF">2021-11-01T11:27:18Z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2052-3.9.1.6204</vt:lpwstr>
  </property>
  <property fmtid="{D5CDD505-2E9C-101B-9397-08002B2CF9AE}" pid="3" name="ICV">
    <vt:lpwstr>99CDBB36D14845CBA80C1CE29042390A</vt:lpwstr>
  </property>
</Properties>
</file>