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4041775</wp:posOffset>
            </wp:positionH>
            <wp:positionV relativeFrom="paragraph">
              <wp:posOffset>102870</wp:posOffset>
            </wp:positionV>
            <wp:extent cx="1189990" cy="1623060"/>
            <wp:effectExtent l="0" t="0" r="13970" b="7620"/>
            <wp:wrapSquare wrapText="bothSides"/>
            <wp:docPr id="1" name="图片 1" descr="C:/Users/san/AppData/Local/Temp/picturecompress_20211018174630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san/AppData/Local/Temp/picturecompress_20211018174630/output_1.jpgoutput_1"/>
                    <pic:cNvPicPr>
                      <a:picLocks noChangeAspect="1"/>
                    </pic:cNvPicPr>
                  </pic:nvPicPr>
                  <pic:blipFill>
                    <a:blip r:embed="rId4"/>
                    <a:srcRect l="6937" r="5336" b="19410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基本情况 </w:t>
      </w:r>
    </w:p>
    <w:tbl>
      <w:tblPr>
        <w:tblStyle w:val="3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24"/>
        <w:gridCol w:w="1324"/>
        <w:gridCol w:w="1325"/>
        <w:gridCol w:w="1325"/>
      </w:tblGrid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rPr>
          <w:trHeight w:val="328" w:hRule="atLeast"/>
        </w:trPr>
        <w:tc>
          <w:tcPr>
            <w:tcW w:w="1324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姓名</w:t>
            </w:r>
          </w:p>
        </w:tc>
        <w:tc>
          <w:tcPr>
            <w:tcW w:w="132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江山</w:t>
            </w:r>
          </w:p>
        </w:tc>
        <w:tc>
          <w:tcPr>
            <w:tcW w:w="1325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性别</w:t>
            </w:r>
          </w:p>
        </w:tc>
        <w:tc>
          <w:tcPr>
            <w:tcW w:w="132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女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rPr>
          <w:trHeight w:val="328" w:hRule="atLeast"/>
        </w:trPr>
        <w:tc>
          <w:tcPr>
            <w:tcW w:w="1324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生日</w:t>
            </w:r>
          </w:p>
        </w:tc>
        <w:tc>
          <w:tcPr>
            <w:tcW w:w="132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1981.4</w:t>
            </w:r>
          </w:p>
        </w:tc>
        <w:tc>
          <w:tcPr>
            <w:tcW w:w="1325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学历</w:t>
            </w:r>
          </w:p>
        </w:tc>
        <w:tc>
          <w:tcPr>
            <w:tcW w:w="132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本科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rPr>
          <w:trHeight w:val="338" w:hRule="atLeast"/>
        </w:trPr>
        <w:tc>
          <w:tcPr>
            <w:tcW w:w="1324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民族</w:t>
            </w:r>
          </w:p>
        </w:tc>
        <w:tc>
          <w:tcPr>
            <w:tcW w:w="132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汉</w:t>
            </w:r>
          </w:p>
        </w:tc>
        <w:tc>
          <w:tcPr>
            <w:tcW w:w="1325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籍贯</w:t>
            </w:r>
          </w:p>
        </w:tc>
        <w:tc>
          <w:tcPr>
            <w:tcW w:w="132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广东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廉江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学历情况 </w:t>
      </w:r>
    </w:p>
    <w:tbl>
      <w:tblPr>
        <w:tblStyle w:val="3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26"/>
        <w:gridCol w:w="3734"/>
      </w:tblGrid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c>
          <w:tcPr>
            <w:tcW w:w="1326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2001-2005 </w:t>
            </w:r>
          </w:p>
        </w:tc>
        <w:tc>
          <w:tcPr>
            <w:tcW w:w="373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深圳大学 管理学学士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c>
          <w:tcPr>
            <w:tcW w:w="1326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2020-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至今</w:t>
            </w:r>
          </w:p>
        </w:tc>
        <w:tc>
          <w:tcPr>
            <w:tcW w:w="373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深圳大学 心理学硕士 （在读） 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tbl>
      <w:tblPr>
        <w:tblStyle w:val="3"/>
        <w:tblpPr w:leftFromText="180" w:rightFromText="180" w:vertAnchor="text" w:horzAnchor="page" w:tblpX="1807" w:tblpY="312"/>
        <w:tblOverlap w:val="never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0"/>
      </w:tblGrid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5360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shd w:val="clear" w:fill="DEEBF6" w:themeFill="accent1" w:themeFillTint="32"/>
                <w:lang w:val="en-US" w:eastAsia="zh-CN" w:bidi="ar"/>
              </w:rPr>
              <w:t>国家二级心理咨询师（证书编号：1718000008202481）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5360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奥尔夫音乐指导训练师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专业资历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受训经历 </w:t>
      </w:r>
    </w:p>
    <w:tbl>
      <w:tblPr>
        <w:tblStyle w:val="3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896"/>
      </w:tblGrid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深圳金天心理 儿童青少年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家庭治疗方向 研修（三年）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国际存在人本学院 存在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人本主义系统培训（两年）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国际存在人本学院 存在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人本主义高级研修班（一年半，在读）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深圳大学 临床心理与咨询 在职研究生（三年，在读）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精神分析理论、咨询观摩系统课程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绘画分析及治疗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奥尔夫音乐指导训练师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台湾东华大学李维伦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现象学、存在思考与心理治疗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Kerry Novick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如何同步与父母工作使儿童青少年治疗有效（理论与临床）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Judith Rustin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婴儿研究与神经科学在心理咨询中的运用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Sonia Murray &amp; John Murray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如何为儿童提供社交、情感、心理和行为支持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中国心理学会临床与咨询心理学工作伦理守则培训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台湾自闭症儿童音乐治疗（评估及干预）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中美5-12岁儿童心理卫生评估与预防干预培训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韩国李南玉整合式家庭治疗系统课程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东方心理沙盘治疗初级、中级系统课程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持续四年半的个人体验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持续的个案督导及团体督导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工作经历 </w:t>
      </w:r>
    </w:p>
    <w:tbl>
      <w:tblPr>
        <w:tblStyle w:val="3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866"/>
      </w:tblGrid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c>
          <w:tcPr>
            <w:tcW w:w="686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深圳心理咨询师协会会员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c>
          <w:tcPr>
            <w:tcW w:w="68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深圳市关爱协会心灵援助中心咨询师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c>
          <w:tcPr>
            <w:tcW w:w="686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深圳共青团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12355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青少年服务中心 心理咨询师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深圳千叶莲临床心理门诊·儿少康复科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&amp;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心理咨询科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6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深圳博沃思教育 心理咨询师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深圳争渡心理咨询 心理咨询师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c>
          <w:tcPr>
            <w:tcW w:w="686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南方科技大学 心理咨询师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擅长领域 </w:t>
      </w:r>
    </w:p>
    <w:tbl>
      <w:tblPr>
        <w:tblStyle w:val="3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846"/>
      </w:tblGrid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c>
          <w:tcPr>
            <w:tcW w:w="684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5-18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岁儿童及青少年人际、自信心、创伤、情绪类问题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c>
          <w:tcPr>
            <w:tcW w:w="684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2-10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岁自闭症、阿斯伯格、多动症等症状的情绪类问题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c>
          <w:tcPr>
            <w:tcW w:w="684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成人的心理成长类、夫妻咨询、亲子关系、家庭治疗等咨询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c>
          <w:tcPr>
            <w:tcW w:w="684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抑郁、焦虑、强迫、嗜睡等情绪问题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left w:w="108" w:type="dxa"/>
            <w:right w:w="108" w:type="dxa"/>
          </w:tblCellMar>
        </w:tblPrEx>
        <w:tc>
          <w:tcPr>
            <w:tcW w:w="684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累计个案经验：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2000+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小时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</w:p>
    <w:p/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101D41"/>
    <w:rsid w:val="09101D41"/>
    <w:rsid w:val="335D5A15"/>
    <w:rsid w:val="3FDB17C4"/>
    <w:rsid w:val="557E6722"/>
    <w:rsid w:val="6E567F4E"/>
    <w:rsid w:val="72CB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2021-10-18T09:37:00Z</dcterms:created>
  <dc:creator>江珊❁</dc:creator>
  <cp:lastModifiedBy>江珊❁</cp:lastModifiedBy>
  <dcterms:modified xsi:type="dcterms:W3CDTF">2021-10-18T10:12:25Z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9EA374605E6C4921A9D7816C22A7D519</vt:lpwstr>
  </property>
</Properties>
</file>