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840" w:leftChars="0" w:firstLine="420" w:firstLineChars="0"/>
        <w:jc w:val="both"/>
        <w:rPr>
          <w:rFonts w:hint="eastAsia" w:ascii="微软雅黑" w:hAnsi="微软雅黑" w:eastAsia="微软雅黑" w:cs="微软雅黑"/>
          <w:sz w:val="15"/>
          <w:szCs w:val="18"/>
          <w:lang w:val="en-US" w:eastAsia="zh-Hans"/>
        </w:rPr>
      </w:pPr>
      <w:r>
        <w:rPr>
          <w:rFonts w:hint="eastAsia" w:ascii="微软雅黑" w:hAnsi="微软雅黑" w:eastAsia="微软雅黑" w:cs="微软雅黑"/>
          <w:sz w:val="15"/>
          <w:szCs w:val="18"/>
          <w:lang w:val="en-US" w:eastAsia="zh-Hans"/>
        </w:rPr>
        <w:t>目前结算流程所需信息</w:t>
      </w:r>
    </w:p>
    <w:p>
      <w:pPr>
        <w:ind w:left="840" w:leftChars="0" w:firstLine="420" w:firstLineChars="0"/>
        <w:jc w:val="both"/>
        <w:rPr>
          <w:rFonts w:hint="eastAsia" w:ascii="微软雅黑" w:hAnsi="微软雅黑" w:eastAsia="微软雅黑" w:cs="微软雅黑"/>
          <w:sz w:val="15"/>
          <w:szCs w:val="18"/>
          <w:lang w:eastAsia="zh-Hans"/>
        </w:rPr>
      </w:pPr>
      <w:r>
        <w:rPr>
          <w:rFonts w:hint="default" w:ascii="微软雅黑" w:hAnsi="微软雅黑" w:eastAsia="微软雅黑" w:cs="微软雅黑"/>
          <w:sz w:val="15"/>
          <w:szCs w:val="18"/>
          <w:lang w:eastAsia="zh-Hans"/>
        </w:rPr>
        <w:t>2022.03.27</w:t>
      </w:r>
    </w:p>
    <w:p>
      <w:pPr>
        <w:rPr>
          <w:rFonts w:hint="eastAsia" w:ascii="微软雅黑" w:hAnsi="微软雅黑" w:eastAsia="微软雅黑" w:cs="微软雅黑"/>
          <w:sz w:val="15"/>
          <w:szCs w:val="18"/>
        </w:rPr>
      </w:pPr>
    </w:p>
    <w:p>
      <w:pPr>
        <w:rPr>
          <w:rFonts w:hint="eastAsia" w:ascii="微软雅黑" w:hAnsi="微软雅黑" w:eastAsia="微软雅黑" w:cs="微软雅黑"/>
          <w:sz w:val="15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8"/>
        </w:rPr>
        <w:t>1、同步客户接口，需要携带该客户的种类：大众用户、重点用户等</w:t>
      </w:r>
    </w:p>
    <w:p>
      <w:pPr>
        <w:rPr>
          <w:rFonts w:hint="eastAsia" w:ascii="微软雅黑" w:hAnsi="微软雅黑" w:eastAsia="微软雅黑" w:cs="微软雅黑"/>
          <w:sz w:val="15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8"/>
        </w:rPr>
        <w:t>2、或者提供客户种类的区分规则：哪些标签是大众用户，哪些是重点用户等</w:t>
      </w:r>
    </w:p>
    <w:p>
      <w:pPr>
        <w:rPr>
          <w:rFonts w:hint="eastAsia" w:ascii="微软雅黑" w:hAnsi="微软雅黑" w:eastAsia="微软雅黑" w:cs="微软雅黑"/>
          <w:sz w:val="15"/>
          <w:szCs w:val="18"/>
        </w:rPr>
      </w:pPr>
      <w:r>
        <w:rPr>
          <w:rFonts w:hint="eastAsia" w:ascii="微软雅黑" w:hAnsi="微软雅黑" w:eastAsia="微软雅黑" w:cs="微软雅黑"/>
          <w:sz w:val="15"/>
          <w:szCs w:val="18"/>
        </w:rPr>
        <w:t>3、班级（辅助核算账户）需要给出是否满班字段，或者给出满班的数量（目前按40）</w:t>
      </w:r>
    </w:p>
    <w:p>
      <w:pPr>
        <w:rPr>
          <w:rFonts w:hint="eastAsia" w:ascii="微软雅黑" w:hAnsi="微软雅黑" w:eastAsia="微软雅黑" w:cs="微软雅黑"/>
          <w:sz w:val="15"/>
          <w:szCs w:val="18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15"/>
          <w:szCs w:val="18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6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EF06AE"/>
    <w:rsid w:val="BBEF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Office_4.0.0.6524_F1E327BC-269C-435d-A152-05C5408002CA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2022-03-27T09:31:00Z</dcterms:created>
  <dc:creator>lazybone</dc:creator>
  <cp:lastModifiedBy>lazybone</cp:lastModifiedBy>
  <dcterms:modified xsi:type="dcterms:W3CDTF">2022-03-27T09:33:06Z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2052-4.0.0.6524</vt:lpwstr>
  </property>
</Properties>
</file>