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6199A" w14:textId="170AA687" w:rsidR="001865DE" w:rsidRPr="0088278B" w:rsidRDefault="0088278B">
      <w:pPr>
        <w:pStyle w:val="a3"/>
        <w:tabs>
          <w:tab w:val="left" w:pos="4140"/>
        </w:tabs>
        <w:snapToGrid w:val="0"/>
        <w:spacing w:line="400" w:lineRule="exact"/>
        <w:ind w:firstLineChars="200" w:firstLine="56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8278B"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28"/>
        </w:rPr>
        <w:t>高二语文寒假作业之</w:t>
      </w:r>
      <w:r w:rsidRPr="0088278B"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Pr="00882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671C6" w:rsidRPr="0088278B"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28"/>
        </w:rPr>
        <w:t>理解性默写</w:t>
      </w:r>
    </w:p>
    <w:p w14:paraId="07AF04B3" w14:textId="77777777" w:rsidR="0088278B" w:rsidRDefault="0088278B">
      <w:pPr>
        <w:pStyle w:val="a3"/>
        <w:tabs>
          <w:tab w:val="left" w:pos="4140"/>
        </w:tabs>
        <w:snapToGrid w:val="0"/>
        <w:spacing w:line="400" w:lineRule="exact"/>
        <w:ind w:firstLineChars="200" w:firstLine="422"/>
        <w:jc w:val="center"/>
        <w:rPr>
          <w:rFonts w:ascii="Times New Roman" w:hAnsi="Times New Roman" w:cs="Times New Roman" w:hint="eastAsia"/>
          <w:b/>
          <w:bCs/>
          <w:color w:val="000000" w:themeColor="text1"/>
        </w:rPr>
      </w:pPr>
    </w:p>
    <w:p w14:paraId="22B111EC" w14:textId="77777777" w:rsidR="001865DE" w:rsidRDefault="001671C6">
      <w:pPr>
        <w:pStyle w:val="a3"/>
        <w:tabs>
          <w:tab w:val="left" w:pos="4140"/>
        </w:tabs>
        <w:snapToGrid w:val="0"/>
        <w:spacing w:line="400" w:lineRule="exact"/>
        <w:ind w:firstLineChars="200" w:firstLine="42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</w:rPr>
        <w:t>《</w:t>
      </w:r>
      <w:r>
        <w:rPr>
          <w:rFonts w:ascii="Times New Roman" w:hAnsi="Times New Roman" w:cs="Times New Roman" w:hint="eastAsia"/>
          <w:b/>
          <w:bCs/>
          <w:color w:val="000000" w:themeColor="text1"/>
        </w:rPr>
        <w:t>屈原列传</w:t>
      </w:r>
      <w:r>
        <w:rPr>
          <w:rFonts w:ascii="Times New Roman" w:hAnsi="Times New Roman" w:cs="Times New Roman" w:hint="eastAsia"/>
          <w:b/>
          <w:bCs/>
          <w:color w:val="000000" w:themeColor="text1"/>
        </w:rPr>
        <w:t>》</w:t>
      </w:r>
    </w:p>
    <w:p w14:paraId="7E0950A4" w14:textId="77777777" w:rsidR="001865DE" w:rsidRDefault="001671C6">
      <w:pPr>
        <w:pStyle w:val="a3"/>
        <w:numPr>
          <w:ilvl w:val="0"/>
          <w:numId w:val="1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在《屈原列传》中，司马迁为了论证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父母，是人类的根本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这一观点，举了</w:t>
      </w:r>
      <w:r>
        <w:rPr>
          <w:rFonts w:hAnsi="宋体" w:cs="Times New Roman"/>
        </w:rPr>
        <w:t>“</w:t>
      </w:r>
      <w:r>
        <w:rPr>
          <w:rFonts w:hAnsi="宋体" w:cs="Times New Roman" w:hint="eastAsia"/>
          <w:u w:val="single"/>
        </w:rPr>
        <w:t xml:space="preserve">                 </w:t>
      </w:r>
      <w:r>
        <w:rPr>
          <w:rFonts w:ascii="Times New Roman" w:hAnsi="Times New Roman" w:cs="Times New Roman"/>
          <w:color w:val="000000" w:themeColor="text1"/>
          <w:u w:val="single"/>
        </w:rPr>
        <w:t>，</w:t>
      </w:r>
      <w:r>
        <w:rPr>
          <w:rFonts w:ascii="Times New Roman" w:hAnsi="Times New Roman" w:cs="Times New Roman" w:hint="eastAsia"/>
          <w:color w:val="000000" w:themeColor="text1"/>
          <w:u w:val="single"/>
        </w:rPr>
        <w:t xml:space="preserve">                  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这一例子进行了论证。</w:t>
      </w:r>
    </w:p>
    <w:p w14:paraId="46678F7A" w14:textId="77777777" w:rsidR="001865DE" w:rsidRDefault="001671C6">
      <w:pPr>
        <w:pStyle w:val="a3"/>
        <w:numPr>
          <w:ilvl w:val="0"/>
          <w:numId w:val="1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在《屈原列传》中，司马迁分析了屈原《离骚》用来列举事实讽刺当世政治的包括</w:t>
      </w:r>
      <w:r>
        <w:rPr>
          <w:rFonts w:hAnsi="宋体" w:cs="Times New Roman"/>
        </w:rPr>
        <w:t>“</w:t>
      </w:r>
      <w:r>
        <w:rPr>
          <w:rFonts w:hAnsi="宋体" w:cs="Times New Roman" w:hint="eastAsia"/>
          <w:u w:val="single"/>
        </w:rPr>
        <w:t xml:space="preserve">             </w:t>
      </w:r>
      <w:r>
        <w:rPr>
          <w:rFonts w:ascii="Times New Roman" w:hAnsi="Times New Roman" w:cs="Times New Roman"/>
          <w:color w:val="000000" w:themeColor="text1"/>
          <w:u w:val="single"/>
        </w:rPr>
        <w:t>，</w:t>
      </w:r>
      <w:r>
        <w:rPr>
          <w:rFonts w:ascii="Times New Roman" w:hAnsi="Times New Roman" w:cs="Times New Roman" w:hint="eastAsia"/>
          <w:color w:val="000000" w:themeColor="text1"/>
          <w:u w:val="single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u w:val="single"/>
        </w:rPr>
        <w:t>，</w:t>
      </w:r>
      <w:r>
        <w:rPr>
          <w:rFonts w:ascii="Times New Roman" w:hAnsi="Times New Roman" w:cs="Times New Roman" w:hint="eastAsia"/>
          <w:color w:val="000000" w:themeColor="text1"/>
          <w:u w:val="single"/>
        </w:rPr>
        <w:t xml:space="preserve">                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这三方面。</w:t>
      </w:r>
    </w:p>
    <w:p w14:paraId="0DF80461" w14:textId="77777777" w:rsidR="001865DE" w:rsidRDefault="001671C6">
      <w:pPr>
        <w:pStyle w:val="a3"/>
        <w:numPr>
          <w:ilvl w:val="0"/>
          <w:numId w:val="1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在《屈原列传》中，司马迁对屈原的《离骚》评价极高，其中认为其文字洗练、用辞精到的两句是：</w:t>
      </w:r>
      <w:r>
        <w:rPr>
          <w:rFonts w:ascii="Times New Roman" w:hAnsi="Times New Roman" w:cs="Times New Roman" w:hint="eastAsia"/>
          <w:u w:val="single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u w:val="single"/>
        </w:rPr>
        <w:t>，</w:t>
      </w:r>
      <w:r>
        <w:rPr>
          <w:rFonts w:ascii="Times New Roman" w:hAnsi="Times New Roman" w:cs="Times New Roman" w:hint="eastAsia"/>
          <w:color w:val="000000" w:themeColor="text1"/>
          <w:u w:val="single"/>
        </w:rPr>
        <w:t xml:space="preserve">               </w:t>
      </w:r>
      <w:r>
        <w:rPr>
          <w:rFonts w:ascii="Times New Roman" w:hAnsi="Times New Roman" w:cs="Times New Roman"/>
        </w:rPr>
        <w:t>。</w:t>
      </w:r>
    </w:p>
    <w:p w14:paraId="7ECCB488" w14:textId="77777777" w:rsidR="001865DE" w:rsidRDefault="001671C6">
      <w:pPr>
        <w:pStyle w:val="a3"/>
        <w:numPr>
          <w:ilvl w:val="0"/>
          <w:numId w:val="1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在《屈原列传》中，司马迁对屈原的为人</w:t>
      </w:r>
      <w:proofErr w:type="gramStart"/>
      <w:r>
        <w:rPr>
          <w:rFonts w:ascii="Times New Roman" w:hAnsi="Times New Roman" w:cs="Times New Roman"/>
        </w:rPr>
        <w:t>作出</w:t>
      </w:r>
      <w:proofErr w:type="gramEnd"/>
      <w:r>
        <w:rPr>
          <w:rFonts w:ascii="Times New Roman" w:hAnsi="Times New Roman" w:cs="Times New Roman"/>
        </w:rPr>
        <w:t>了高度的评价，其中认为他志向远大，即使与日月对照，光辉也毫不逊色的句子是：</w:t>
      </w:r>
      <w:r>
        <w:rPr>
          <w:rFonts w:ascii="Times New Roman" w:hAnsi="Times New Roman" w:cs="Times New Roman" w:hint="eastAsia"/>
          <w:u w:val="single"/>
        </w:rPr>
        <w:t xml:space="preserve">               </w:t>
      </w:r>
      <w:r>
        <w:rPr>
          <w:rFonts w:ascii="Times New Roman" w:hAnsi="Times New Roman" w:cs="Times New Roman"/>
          <w:color w:val="000000" w:themeColor="text1"/>
          <w:u w:val="single"/>
        </w:rPr>
        <w:t>，</w:t>
      </w:r>
      <w:r>
        <w:rPr>
          <w:rFonts w:ascii="Times New Roman" w:hAnsi="Times New Roman" w:cs="Times New Roman" w:hint="eastAsia"/>
          <w:color w:val="000000" w:themeColor="text1"/>
          <w:u w:val="single"/>
        </w:rPr>
        <w:t xml:space="preserve">           </w:t>
      </w:r>
      <w:r>
        <w:rPr>
          <w:rFonts w:ascii="Times New Roman" w:hAnsi="Times New Roman" w:cs="Times New Roman"/>
        </w:rPr>
        <w:t>。</w:t>
      </w:r>
    </w:p>
    <w:p w14:paraId="0E36C78F" w14:textId="77777777" w:rsidR="001865DE" w:rsidRDefault="001671C6">
      <w:pPr>
        <w:pStyle w:val="a3"/>
        <w:numPr>
          <w:ilvl w:val="0"/>
          <w:numId w:val="1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</w:rPr>
        <w:t>《屈原列传》中，表现屈原人格与文风一致的句子是：</w:t>
      </w:r>
      <w:r>
        <w:rPr>
          <w:rFonts w:ascii="Times New Roman" w:hAnsi="Times New Roman" w:cs="Times New Roman" w:hint="eastAsia"/>
          <w:u w:val="single"/>
        </w:rPr>
        <w:t xml:space="preserve">          </w:t>
      </w:r>
      <w:r>
        <w:rPr>
          <w:rFonts w:ascii="Times New Roman" w:hAnsi="Times New Roman" w:cs="Times New Roman"/>
          <w:color w:val="000000" w:themeColor="text1"/>
          <w:u w:val="single"/>
        </w:rPr>
        <w:t>，</w:t>
      </w:r>
      <w:r>
        <w:rPr>
          <w:rFonts w:ascii="Times New Roman" w:hAnsi="Times New Roman" w:cs="Times New Roman" w:hint="eastAsia"/>
          <w:color w:val="000000" w:themeColor="text1"/>
          <w:u w:val="single"/>
        </w:rPr>
        <w:t xml:space="preserve">          </w:t>
      </w:r>
      <w:r>
        <w:rPr>
          <w:rFonts w:ascii="Times New Roman" w:hAnsi="Times New Roman" w:cs="Times New Roman"/>
          <w:color w:val="000000" w:themeColor="text1"/>
          <w:u w:val="single"/>
        </w:rPr>
        <w:t>；</w:t>
      </w:r>
      <w:r>
        <w:rPr>
          <w:rFonts w:ascii="Times New Roman" w:hAnsi="Times New Roman" w:cs="Times New Roman" w:hint="eastAsia"/>
          <w:color w:val="000000" w:themeColor="text1"/>
          <w:u w:val="single"/>
        </w:rPr>
        <w:t xml:space="preserve">             </w:t>
      </w:r>
      <w:r>
        <w:rPr>
          <w:rFonts w:ascii="Times New Roman" w:hAnsi="Times New Roman" w:cs="Times New Roman"/>
          <w:color w:val="000000" w:themeColor="text1"/>
          <w:u w:val="single"/>
        </w:rPr>
        <w:t>，</w:t>
      </w:r>
      <w:r>
        <w:rPr>
          <w:rFonts w:ascii="Times New Roman" w:hAnsi="Times New Roman" w:cs="Times New Roman" w:hint="eastAsia"/>
          <w:color w:val="000000" w:themeColor="text1"/>
          <w:u w:val="single"/>
        </w:rPr>
        <w:t xml:space="preserve">                 </w:t>
      </w:r>
      <w:r>
        <w:rPr>
          <w:rFonts w:ascii="Times New Roman" w:hAnsi="Times New Roman" w:cs="Times New Roman"/>
          <w:color w:val="000000" w:themeColor="text1"/>
          <w:u w:val="single"/>
        </w:rPr>
        <w:t>。</w:t>
      </w:r>
    </w:p>
    <w:p w14:paraId="6692800E" w14:textId="77777777" w:rsidR="001865DE" w:rsidRDefault="001671C6">
      <w:pPr>
        <w:pStyle w:val="a3"/>
        <w:numPr>
          <w:ilvl w:val="0"/>
          <w:numId w:val="1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</w:rPr>
        <w:t>《屈原列传》中，称赞《离骚</w:t>
      </w:r>
      <w:r>
        <w:rPr>
          <w:rFonts w:ascii="Times New Roman" w:hAnsi="Times New Roman" w:cs="Times New Roman"/>
        </w:rPr>
        <w:t>》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言浅意深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的两句是：</w:t>
      </w:r>
      <w:r>
        <w:rPr>
          <w:rFonts w:ascii="Times New Roman" w:hAnsi="Times New Roman" w:cs="Times New Roman" w:hint="eastAsia"/>
          <w:u w:val="single"/>
        </w:rPr>
        <w:t xml:space="preserve">              </w:t>
      </w:r>
      <w:r>
        <w:rPr>
          <w:rFonts w:ascii="Times New Roman" w:hAnsi="Times New Roman" w:cs="Times New Roman"/>
          <w:color w:val="000000" w:themeColor="text1"/>
          <w:u w:val="single"/>
        </w:rPr>
        <w:t>，</w:t>
      </w:r>
      <w:r>
        <w:rPr>
          <w:rFonts w:ascii="Times New Roman" w:hAnsi="Times New Roman" w:cs="Times New Roman" w:hint="eastAsia"/>
          <w:color w:val="000000" w:themeColor="text1"/>
          <w:u w:val="single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u w:val="single"/>
        </w:rPr>
        <w:t>。</w:t>
      </w:r>
    </w:p>
    <w:p w14:paraId="1D478163" w14:textId="77777777" w:rsidR="001865DE" w:rsidRDefault="001671C6">
      <w:pPr>
        <w:pStyle w:val="a3"/>
        <w:numPr>
          <w:ilvl w:val="0"/>
          <w:numId w:val="1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</w:rPr>
        <w:t>《屈原列传》中，陈述屈原品行端正、竭尽忠心侍奉君王的句子是：</w:t>
      </w:r>
      <w:r>
        <w:rPr>
          <w:rFonts w:ascii="Times New Roman" w:hAnsi="Times New Roman" w:cs="Times New Roman" w:hint="eastAsia"/>
          <w:u w:val="single"/>
        </w:rPr>
        <w:t xml:space="preserve">                   </w:t>
      </w:r>
      <w:r>
        <w:rPr>
          <w:rFonts w:ascii="Times New Roman" w:hAnsi="Times New Roman" w:cs="Times New Roman"/>
          <w:color w:val="000000" w:themeColor="text1"/>
          <w:u w:val="single"/>
        </w:rPr>
        <w:t>，</w:t>
      </w:r>
      <w:r>
        <w:rPr>
          <w:rFonts w:ascii="Times New Roman" w:hAnsi="Times New Roman" w:cs="Times New Roman" w:hint="eastAsia"/>
          <w:color w:val="000000" w:themeColor="text1"/>
          <w:u w:val="single"/>
        </w:rPr>
        <w:t xml:space="preserve">                  </w:t>
      </w:r>
      <w:r>
        <w:rPr>
          <w:rFonts w:ascii="Times New Roman" w:hAnsi="Times New Roman" w:cs="Times New Roman"/>
          <w:color w:val="000000" w:themeColor="text1"/>
          <w:u w:val="single"/>
        </w:rPr>
        <w:t>。</w:t>
      </w:r>
    </w:p>
    <w:p w14:paraId="5B3B86CF" w14:textId="77777777" w:rsidR="001865DE" w:rsidRDefault="001671C6">
      <w:pPr>
        <w:pStyle w:val="a3"/>
        <w:numPr>
          <w:ilvl w:val="0"/>
          <w:numId w:val="1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《屈原列传》中，强调《离骚》完全阐明了治理国家的规律的句子是：</w:t>
      </w:r>
      <w:r>
        <w:rPr>
          <w:rFonts w:ascii="Times New Roman" w:hAnsi="Times New Roman" w:cs="Times New Roman" w:hint="eastAsia"/>
          <w:u w:val="single"/>
        </w:rPr>
        <w:t xml:space="preserve">              </w:t>
      </w:r>
      <w:r>
        <w:rPr>
          <w:rFonts w:ascii="Times New Roman" w:hAnsi="Times New Roman" w:cs="Times New Roman"/>
          <w:color w:val="000000" w:themeColor="text1"/>
          <w:u w:val="single"/>
        </w:rPr>
        <w:t>，</w:t>
      </w:r>
      <w:r>
        <w:rPr>
          <w:rFonts w:ascii="Times New Roman" w:hAnsi="Times New Roman" w:cs="Times New Roman" w:hint="eastAsia"/>
          <w:color w:val="000000" w:themeColor="text1"/>
          <w:u w:val="single"/>
        </w:rPr>
        <w:t xml:space="preserve">              </w:t>
      </w:r>
      <w:r>
        <w:rPr>
          <w:rFonts w:ascii="Times New Roman" w:hAnsi="Times New Roman" w:cs="Times New Roman"/>
          <w:color w:val="000000" w:themeColor="text1"/>
          <w:u w:val="single"/>
        </w:rPr>
        <w:t>，</w:t>
      </w:r>
      <w:r>
        <w:rPr>
          <w:rFonts w:ascii="Times New Roman" w:hAnsi="Times New Roman" w:cs="Times New Roman" w:hint="eastAsia"/>
          <w:color w:val="000000" w:themeColor="text1"/>
          <w:u w:val="single"/>
        </w:rPr>
        <w:t xml:space="preserve">                  </w:t>
      </w:r>
      <w:r>
        <w:rPr>
          <w:rFonts w:ascii="Times New Roman" w:hAnsi="Times New Roman" w:cs="Times New Roman"/>
          <w:color w:val="000000" w:themeColor="text1"/>
          <w:u w:val="single"/>
        </w:rPr>
        <w:t>。</w:t>
      </w:r>
    </w:p>
    <w:p w14:paraId="15AF96DB" w14:textId="77777777" w:rsidR="001865DE" w:rsidRDefault="001671C6">
      <w:pPr>
        <w:pStyle w:val="a3"/>
        <w:numPr>
          <w:ilvl w:val="0"/>
          <w:numId w:val="1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司马迁在《屈原列传》中说屈原出淤泥而不染的句子是：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______________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________________</w:t>
      </w:r>
      <w:r>
        <w:rPr>
          <w:rFonts w:ascii="Times New Roman" w:hAnsi="Times New Roman" w:cs="Times New Roman"/>
        </w:rPr>
        <w:t>。</w:t>
      </w:r>
      <w:r>
        <w:rPr>
          <w:rFonts w:hAnsi="宋体" w:cs="Times New Roman"/>
        </w:rPr>
        <w:t>”</w:t>
      </w:r>
    </w:p>
    <w:p w14:paraId="0C3B195E" w14:textId="77777777" w:rsidR="001865DE" w:rsidRDefault="001671C6">
      <w:pPr>
        <w:pStyle w:val="a3"/>
        <w:numPr>
          <w:ilvl w:val="0"/>
          <w:numId w:val="1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司马迁在《屈原列传》中说屈原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穷</w:t>
      </w:r>
      <w:r>
        <w:rPr>
          <w:rFonts w:hAnsi="宋体" w:cs="Times New Roman"/>
        </w:rPr>
        <w:t>”“</w:t>
      </w:r>
      <w:r>
        <w:rPr>
          <w:rFonts w:ascii="Times New Roman" w:hAnsi="Times New Roman" w:cs="Times New Roman"/>
        </w:rPr>
        <w:t>怨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的缘由是：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______________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________________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______________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________________</w:t>
      </w:r>
      <w:r>
        <w:rPr>
          <w:rFonts w:ascii="Times New Roman" w:hAnsi="Times New Roman" w:cs="Times New Roman"/>
        </w:rPr>
        <w:t>？</w:t>
      </w:r>
      <w:r>
        <w:rPr>
          <w:rFonts w:hAnsi="宋体" w:cs="Times New Roman"/>
        </w:rPr>
        <w:t>”</w:t>
      </w:r>
    </w:p>
    <w:p w14:paraId="5248DB67" w14:textId="77777777" w:rsidR="001865DE" w:rsidRDefault="001671C6">
      <w:pPr>
        <w:pStyle w:val="a3"/>
        <w:numPr>
          <w:ilvl w:val="0"/>
          <w:numId w:val="1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司马迁在《屈原列传》中说《离骚》的内容是：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______________</w:t>
      </w:r>
      <w:r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________________</w:t>
      </w:r>
      <w:r>
        <w:rPr>
          <w:rFonts w:ascii="Times New Roman" w:hAnsi="Times New Roman" w:cs="Times New Roman"/>
        </w:rPr>
        <w:t>。</w:t>
      </w:r>
      <w:r>
        <w:rPr>
          <w:rFonts w:hAnsi="宋体" w:cs="Times New Roman"/>
        </w:rPr>
        <w:t>”</w:t>
      </w:r>
    </w:p>
    <w:p w14:paraId="5015D75B" w14:textId="77777777" w:rsidR="001865DE" w:rsidRDefault="001865DE">
      <w:pPr>
        <w:spacing w:line="400" w:lineRule="exact"/>
      </w:pPr>
    </w:p>
    <w:p w14:paraId="70F3AF33" w14:textId="77777777" w:rsidR="001865DE" w:rsidRDefault="001671C6">
      <w:pPr>
        <w:spacing w:line="400" w:lineRule="exact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《</w:t>
      </w:r>
      <w:r>
        <w:rPr>
          <w:rFonts w:hint="eastAsia"/>
          <w:b/>
          <w:bCs/>
        </w:rPr>
        <w:t>过秦论</w:t>
      </w:r>
      <w:r>
        <w:rPr>
          <w:rFonts w:hint="eastAsia"/>
          <w:b/>
          <w:bCs/>
        </w:rPr>
        <w:t>》</w:t>
      </w:r>
    </w:p>
    <w:p w14:paraId="4F951C01" w14:textId="77777777" w:rsidR="001865DE" w:rsidRDefault="001671C6">
      <w:pPr>
        <w:pStyle w:val="a3"/>
        <w:numPr>
          <w:ilvl w:val="0"/>
          <w:numId w:val="2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《过秦论》中，秦始皇继承前代功业、靠武力征服天下的两句是：</w:t>
      </w:r>
      <w:r>
        <w:rPr>
          <w:rFonts w:ascii="Times New Roman" w:hAnsi="Times New Roman" w:cs="Times New Roman" w:hint="eastAsia"/>
          <w:u w:val="single"/>
        </w:rPr>
        <w:t xml:space="preserve">             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  <w:u w:val="single"/>
        </w:rPr>
        <w:t xml:space="preserve">                 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 xml:space="preserve"> </w:t>
      </w:r>
    </w:p>
    <w:p w14:paraId="26604288" w14:textId="77777777" w:rsidR="001865DE" w:rsidRDefault="001671C6">
      <w:pPr>
        <w:pStyle w:val="a3"/>
        <w:numPr>
          <w:ilvl w:val="0"/>
          <w:numId w:val="2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《过秦论》中，最能揭示秦始皇奴役天下百姓的一句是</w:t>
      </w:r>
      <w:r>
        <w:rPr>
          <w:rFonts w:hAnsi="宋体" w:cs="Times New Roman"/>
        </w:rPr>
        <w:t>“</w:t>
      </w:r>
      <w:r>
        <w:rPr>
          <w:rFonts w:hAnsi="宋体" w:cs="Times New Roman" w:hint="eastAsia"/>
          <w:u w:val="single"/>
        </w:rPr>
        <w:t xml:space="preserve">                   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，而最能表现秦始皇对待北方少数民族的一句则是</w:t>
      </w:r>
      <w:r>
        <w:rPr>
          <w:rFonts w:hAnsi="宋体" w:cs="Times New Roman"/>
        </w:rPr>
        <w:t>“</w:t>
      </w:r>
      <w:r>
        <w:rPr>
          <w:rFonts w:hAnsi="宋体" w:cs="Times New Roman" w:hint="eastAsia"/>
          <w:u w:val="single"/>
        </w:rPr>
        <w:t xml:space="preserve">                        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。</w:t>
      </w:r>
    </w:p>
    <w:p w14:paraId="55E53206" w14:textId="77777777" w:rsidR="001865DE" w:rsidRDefault="001671C6">
      <w:pPr>
        <w:pStyle w:val="a3"/>
        <w:numPr>
          <w:ilvl w:val="0"/>
          <w:numId w:val="2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《过秦论》中秦始皇统一天下后，在政治军事上采取了一系列措施，作者用</w:t>
      </w:r>
      <w:r>
        <w:rPr>
          <w:rFonts w:hAnsi="宋体" w:cs="Times New Roman"/>
        </w:rPr>
        <w:t>“</w:t>
      </w:r>
      <w:r>
        <w:rPr>
          <w:rFonts w:hAnsi="宋体" w:cs="Times New Roman" w:hint="eastAsia"/>
          <w:u w:val="single"/>
        </w:rPr>
        <w:t xml:space="preserve">                      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  <w:u w:val="single"/>
        </w:rPr>
        <w:t xml:space="preserve">                         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这两句</w:t>
      </w:r>
      <w:proofErr w:type="gramStart"/>
      <w:r>
        <w:rPr>
          <w:rFonts w:ascii="Times New Roman" w:hAnsi="Times New Roman" w:cs="Times New Roman"/>
        </w:rPr>
        <w:t>写采取</w:t>
      </w:r>
      <w:proofErr w:type="gramEnd"/>
      <w:r>
        <w:rPr>
          <w:rFonts w:ascii="Times New Roman" w:hAnsi="Times New Roman" w:cs="Times New Roman"/>
        </w:rPr>
        <w:t>措施后的影响。</w:t>
      </w:r>
    </w:p>
    <w:p w14:paraId="54BCE91E" w14:textId="77777777" w:rsidR="001865DE" w:rsidRDefault="001671C6">
      <w:pPr>
        <w:pStyle w:val="a3"/>
        <w:numPr>
          <w:ilvl w:val="0"/>
          <w:numId w:val="2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《过秦论》中，连用三个比喻句来说明秦国有吞并天下的野心的句子</w:t>
      </w:r>
      <w:r>
        <w:rPr>
          <w:rFonts w:ascii="Times New Roman" w:hAnsi="Times New Roman" w:cs="Times New Roman"/>
        </w:rPr>
        <w:lastRenderedPageBreak/>
        <w:t>是：</w:t>
      </w:r>
      <w:r>
        <w:rPr>
          <w:rFonts w:ascii="Times New Roman" w:hAnsi="Times New Roman" w:cs="Times New Roman" w:hint="eastAsia"/>
          <w:u w:val="single"/>
        </w:rPr>
        <w:t xml:space="preserve">                 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  <w:u w:val="single"/>
        </w:rPr>
        <w:t xml:space="preserve">              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  <w:u w:val="single"/>
        </w:rPr>
        <w:t xml:space="preserve">                      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 xml:space="preserve"> </w:t>
      </w:r>
    </w:p>
    <w:p w14:paraId="6E48150A" w14:textId="77777777" w:rsidR="001865DE" w:rsidRDefault="001671C6">
      <w:pPr>
        <w:pStyle w:val="a3"/>
        <w:numPr>
          <w:ilvl w:val="0"/>
          <w:numId w:val="2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贾谊《过秦论》通篇采用对比论证，在对</w:t>
      </w:r>
      <w:proofErr w:type="gramStart"/>
      <w:r>
        <w:rPr>
          <w:rFonts w:ascii="Times New Roman" w:hAnsi="Times New Roman" w:cs="Times New Roman"/>
        </w:rPr>
        <w:t>陈涉和九</w:t>
      </w:r>
      <w:proofErr w:type="gramEnd"/>
      <w:r>
        <w:rPr>
          <w:rFonts w:ascii="Times New Roman" w:hAnsi="Times New Roman" w:cs="Times New Roman"/>
        </w:rPr>
        <w:t>国的对比中，体现二者军力差距的语句是</w:t>
      </w:r>
      <w:r>
        <w:rPr>
          <w:rFonts w:hAnsi="宋体" w:cs="Times New Roman"/>
        </w:rPr>
        <w:t>“</w:t>
      </w:r>
      <w:r>
        <w:rPr>
          <w:rFonts w:hAnsi="宋体" w:cs="Times New Roman" w:hint="eastAsia"/>
          <w:u w:val="single"/>
        </w:rPr>
        <w:t xml:space="preserve">                   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  <w:u w:val="single"/>
        </w:rPr>
        <w:t xml:space="preserve">        </w:t>
      </w:r>
      <w:r>
        <w:rPr>
          <w:rFonts w:ascii="Times New Roman" w:hAnsi="Times New Roman" w:cs="Times New Roman" w:hint="eastAsia"/>
          <w:u w:val="single"/>
        </w:rPr>
        <w:t xml:space="preserve">         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。</w:t>
      </w:r>
    </w:p>
    <w:p w14:paraId="5E5C051C" w14:textId="77777777" w:rsidR="001865DE" w:rsidRDefault="001671C6">
      <w:pPr>
        <w:pStyle w:val="a3"/>
        <w:numPr>
          <w:ilvl w:val="0"/>
          <w:numId w:val="2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《过秦论》中，秦国控制天下之后以华山、黄河为天然屏障的句子是：</w:t>
      </w:r>
      <w:r>
        <w:rPr>
          <w:rFonts w:ascii="Times New Roman" w:hAnsi="Times New Roman" w:cs="Times New Roman" w:hint="eastAsia"/>
          <w:u w:val="single"/>
        </w:rPr>
        <w:t xml:space="preserve">                      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  <w:u w:val="single"/>
        </w:rPr>
        <w:t xml:space="preserve">                      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 xml:space="preserve"> </w:t>
      </w:r>
    </w:p>
    <w:p w14:paraId="0B3CF358" w14:textId="77777777" w:rsidR="001865DE" w:rsidRDefault="001671C6">
      <w:pPr>
        <w:pStyle w:val="a3"/>
        <w:numPr>
          <w:ilvl w:val="0"/>
          <w:numId w:val="2"/>
        </w:numPr>
        <w:tabs>
          <w:tab w:val="left" w:pos="4140"/>
        </w:tabs>
        <w:snapToGrid w:val="0"/>
        <w:spacing w:line="400" w:lineRule="exact"/>
      </w:pPr>
      <w:r>
        <w:rPr>
          <w:rFonts w:ascii="Times New Roman" w:hAnsi="Times New Roman" w:cs="Times New Roman"/>
        </w:rPr>
        <w:t>《过秦论》中，总括惠文王、武王、昭襄王时秦国强大盛况的句子是：</w:t>
      </w:r>
      <w:r>
        <w:rPr>
          <w:rFonts w:ascii="Times New Roman" w:hAnsi="Times New Roman" w:cs="Times New Roman" w:hint="eastAsia"/>
          <w:u w:val="single"/>
        </w:rPr>
        <w:t xml:space="preserve">                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  <w:u w:val="single"/>
        </w:rPr>
        <w:t xml:space="preserve">                    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 xml:space="preserve"> </w:t>
      </w:r>
    </w:p>
    <w:p w14:paraId="3C502739" w14:textId="77777777" w:rsidR="001865DE" w:rsidRDefault="001671C6">
      <w:pPr>
        <w:pStyle w:val="a3"/>
        <w:numPr>
          <w:ilvl w:val="0"/>
          <w:numId w:val="2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《过秦论》中，用比喻形象生动地</w:t>
      </w:r>
      <w:proofErr w:type="gramStart"/>
      <w:r>
        <w:rPr>
          <w:rFonts w:ascii="Times New Roman" w:hAnsi="Times New Roman" w:cs="Times New Roman"/>
        </w:rPr>
        <w:t>写出陈</w:t>
      </w:r>
      <w:proofErr w:type="gramEnd"/>
      <w:r>
        <w:rPr>
          <w:rFonts w:ascii="Times New Roman" w:hAnsi="Times New Roman" w:cs="Times New Roman"/>
        </w:rPr>
        <w:t>涉起义后得到热烈响应的语句是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。</w:t>
      </w:r>
    </w:p>
    <w:p w14:paraId="69FD8EA5" w14:textId="77777777" w:rsidR="001865DE" w:rsidRDefault="001671C6">
      <w:pPr>
        <w:pStyle w:val="a3"/>
        <w:numPr>
          <w:ilvl w:val="0"/>
          <w:numId w:val="2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贾谊在《过秦论》中曾指出秦始皇北筑长城、击退匈奴，发挥了重要的威慑作用的语句是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______________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________________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。</w:t>
      </w:r>
    </w:p>
    <w:p w14:paraId="3F564115" w14:textId="77777777" w:rsidR="001865DE" w:rsidRDefault="001671C6">
      <w:pPr>
        <w:pStyle w:val="a3"/>
        <w:numPr>
          <w:ilvl w:val="0"/>
          <w:numId w:val="2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贾谊在《过秦论》中用排比句描写秦始皇用武力统治天下的语句是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________________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________________</w:t>
      </w:r>
      <w:r>
        <w:rPr>
          <w:rFonts w:ascii="Times New Roman" w:hAnsi="Times New Roman" w:cs="Times New Roman"/>
        </w:rPr>
        <w:t>，执敲扑而鞭笞天下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。</w:t>
      </w:r>
    </w:p>
    <w:p w14:paraId="6B0BA71B" w14:textId="77777777" w:rsidR="001865DE" w:rsidRDefault="001671C6">
      <w:pPr>
        <w:pStyle w:val="a3"/>
        <w:numPr>
          <w:ilvl w:val="0"/>
          <w:numId w:val="2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贾谊在《过秦论》中说到秦始皇为了削弱百姓的反抗力量所采取的措施是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收天下之兵，</w:t>
      </w:r>
      <w:r>
        <w:rPr>
          <w:rFonts w:ascii="Times New Roman" w:hAnsi="Times New Roman" w:cs="Times New Roman"/>
        </w:rPr>
        <w:t>________________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________________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。</w:t>
      </w:r>
    </w:p>
    <w:p w14:paraId="3916A6E7" w14:textId="77777777" w:rsidR="001865DE" w:rsidRDefault="001865DE">
      <w:pPr>
        <w:pStyle w:val="a3"/>
        <w:tabs>
          <w:tab w:val="left" w:pos="4140"/>
        </w:tabs>
        <w:snapToGrid w:val="0"/>
        <w:spacing w:line="400" w:lineRule="exact"/>
        <w:rPr>
          <w:rFonts w:hAnsi="宋体" w:cs="宋体"/>
        </w:rPr>
      </w:pPr>
    </w:p>
    <w:p w14:paraId="350DBB91" w14:textId="77777777" w:rsidR="001865DE" w:rsidRDefault="001671C6">
      <w:pPr>
        <w:pStyle w:val="a3"/>
        <w:tabs>
          <w:tab w:val="left" w:pos="4140"/>
        </w:tabs>
        <w:snapToGrid w:val="0"/>
        <w:spacing w:line="400" w:lineRule="exact"/>
        <w:ind w:firstLineChars="100" w:firstLine="211"/>
        <w:rPr>
          <w:rFonts w:hAnsi="宋体" w:cs="宋体"/>
        </w:rPr>
      </w:pPr>
      <w:r>
        <w:rPr>
          <w:rFonts w:hAnsi="宋体" w:cs="宋体" w:hint="eastAsia"/>
          <w:b/>
          <w:bCs/>
        </w:rPr>
        <w:t>《</w:t>
      </w:r>
      <w:r>
        <w:rPr>
          <w:rFonts w:hAnsi="宋体" w:cs="宋体" w:hint="eastAsia"/>
          <w:b/>
          <w:bCs/>
        </w:rPr>
        <w:t>论语十二章</w:t>
      </w:r>
      <w:r>
        <w:rPr>
          <w:rFonts w:hAnsi="宋体" w:cs="宋体" w:hint="eastAsia"/>
          <w:b/>
          <w:bCs/>
        </w:rPr>
        <w:t>》</w:t>
      </w:r>
    </w:p>
    <w:p w14:paraId="6AE186BC" w14:textId="77777777" w:rsidR="001865DE" w:rsidRDefault="001671C6">
      <w:pPr>
        <w:pStyle w:val="a3"/>
        <w:numPr>
          <w:ilvl w:val="0"/>
          <w:numId w:val="3"/>
        </w:numPr>
        <w:tabs>
          <w:tab w:val="left" w:pos="4140"/>
        </w:tabs>
        <w:snapToGrid w:val="0"/>
        <w:spacing w:line="400" w:lineRule="exact"/>
        <w:rPr>
          <w:rFonts w:hAnsi="宋体" w:cs="宋体"/>
        </w:rPr>
      </w:pPr>
      <w:r>
        <w:rPr>
          <w:rFonts w:hAnsi="宋体" w:cs="宋体"/>
        </w:rPr>
        <w:t>在《学而》篇中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孔子认为作为君子能够被称为</w:t>
      </w:r>
      <w:r>
        <w:rPr>
          <w:rFonts w:hAnsi="宋体" w:cs="宋体"/>
        </w:rPr>
        <w:t>“</w:t>
      </w:r>
      <w:r>
        <w:rPr>
          <w:rFonts w:hAnsi="宋体" w:cs="宋体"/>
        </w:rPr>
        <w:t>好学</w:t>
      </w:r>
      <w:r>
        <w:rPr>
          <w:rFonts w:hAnsi="宋体" w:cs="宋体"/>
        </w:rPr>
        <w:t>”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其在衣食住行方面的标准应该是</w:t>
      </w:r>
      <w:r>
        <w:rPr>
          <w:rFonts w:hAnsi="宋体" w:cs="宋体"/>
        </w:rPr>
        <w:t>“______________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______________</w:t>
      </w:r>
      <w:r>
        <w:rPr>
          <w:rFonts w:hAnsi="宋体" w:cs="宋体" w:hint="eastAsia"/>
        </w:rPr>
        <w:t>”。</w:t>
      </w:r>
    </w:p>
    <w:p w14:paraId="68FACB10" w14:textId="77777777" w:rsidR="001865DE" w:rsidRDefault="001671C6">
      <w:pPr>
        <w:pStyle w:val="a3"/>
        <w:numPr>
          <w:ilvl w:val="0"/>
          <w:numId w:val="3"/>
        </w:numPr>
        <w:tabs>
          <w:tab w:val="left" w:pos="4140"/>
        </w:tabs>
        <w:snapToGrid w:val="0"/>
        <w:spacing w:line="400" w:lineRule="exact"/>
        <w:rPr>
          <w:rFonts w:hAnsi="宋体" w:cs="宋体"/>
        </w:rPr>
      </w:pPr>
      <w:r>
        <w:rPr>
          <w:rFonts w:hAnsi="宋体" w:cs="宋体"/>
        </w:rPr>
        <w:t>在《里仁》篇中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孔子把</w:t>
      </w:r>
      <w:r>
        <w:rPr>
          <w:rFonts w:hAnsi="宋体" w:cs="宋体"/>
        </w:rPr>
        <w:t>“</w:t>
      </w:r>
      <w:r>
        <w:rPr>
          <w:rFonts w:hAnsi="宋体" w:cs="宋体"/>
        </w:rPr>
        <w:t>道</w:t>
      </w:r>
      <w:r>
        <w:rPr>
          <w:rFonts w:hAnsi="宋体" w:cs="宋体"/>
        </w:rPr>
        <w:t>”</w:t>
      </w:r>
      <w:r>
        <w:rPr>
          <w:rFonts w:hAnsi="宋体" w:cs="宋体"/>
        </w:rPr>
        <w:t>放在特别重要的地位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表达出为</w:t>
      </w:r>
      <w:r>
        <w:rPr>
          <w:rFonts w:hAnsi="宋体" w:cs="宋体"/>
        </w:rPr>
        <w:t>“</w:t>
      </w:r>
      <w:r>
        <w:rPr>
          <w:rFonts w:hAnsi="宋体" w:cs="宋体"/>
        </w:rPr>
        <w:t>道</w:t>
      </w:r>
      <w:r>
        <w:rPr>
          <w:rFonts w:hAnsi="宋体" w:cs="宋体"/>
        </w:rPr>
        <w:t>”</w:t>
      </w:r>
      <w:r>
        <w:rPr>
          <w:rFonts w:hAnsi="宋体" w:cs="宋体"/>
        </w:rPr>
        <w:t>而死的意思的一句是</w:t>
      </w:r>
      <w:r>
        <w:rPr>
          <w:rFonts w:hAnsi="宋体" w:cs="宋体"/>
        </w:rPr>
        <w:t>“______________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______________”</w:t>
      </w:r>
      <w:r>
        <w:rPr>
          <w:rFonts w:hAnsi="宋体" w:cs="宋体"/>
        </w:rPr>
        <w:t>。</w:t>
      </w:r>
    </w:p>
    <w:p w14:paraId="784D0CE3" w14:textId="77777777" w:rsidR="001865DE" w:rsidRDefault="001671C6">
      <w:pPr>
        <w:pStyle w:val="a3"/>
        <w:numPr>
          <w:ilvl w:val="0"/>
          <w:numId w:val="3"/>
        </w:numPr>
        <w:tabs>
          <w:tab w:val="left" w:pos="4140"/>
        </w:tabs>
        <w:snapToGrid w:val="0"/>
        <w:spacing w:line="400" w:lineRule="exact"/>
        <w:rPr>
          <w:rFonts w:hAnsi="宋体" w:cs="宋体"/>
        </w:rPr>
      </w:pPr>
      <w:r>
        <w:rPr>
          <w:rFonts w:hAnsi="宋体" w:cs="宋体"/>
        </w:rPr>
        <w:t>在《里仁》篇中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孔子强调让别人成为自己修身养性的镜子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学习好的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摒弃不好的句子是</w:t>
      </w:r>
      <w:r>
        <w:rPr>
          <w:rFonts w:hAnsi="宋体" w:cs="宋体"/>
        </w:rPr>
        <w:t>“_</w:t>
      </w:r>
      <w:r>
        <w:rPr>
          <w:rFonts w:hAnsi="宋体" w:cs="宋体"/>
        </w:rPr>
        <w:t>_____________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______________”</w:t>
      </w:r>
      <w:r>
        <w:rPr>
          <w:rFonts w:hAnsi="宋体" w:cs="宋体"/>
        </w:rPr>
        <w:t>。</w:t>
      </w:r>
    </w:p>
    <w:p w14:paraId="3EF445C5" w14:textId="77777777" w:rsidR="001865DE" w:rsidRDefault="001671C6">
      <w:pPr>
        <w:pStyle w:val="a3"/>
        <w:numPr>
          <w:ilvl w:val="0"/>
          <w:numId w:val="3"/>
        </w:numPr>
        <w:tabs>
          <w:tab w:val="left" w:pos="4140"/>
        </w:tabs>
        <w:snapToGrid w:val="0"/>
        <w:spacing w:line="400" w:lineRule="exact"/>
      </w:pPr>
      <w:r>
        <w:rPr>
          <w:rFonts w:hAnsi="宋体" w:cs="宋体"/>
        </w:rPr>
        <w:t>在《雍也》篇中</w:t>
      </w:r>
      <w:r>
        <w:rPr>
          <w:rFonts w:hAnsi="宋体" w:cs="宋体" w:hint="eastAsia"/>
        </w:rPr>
        <w:t>，“</w:t>
      </w:r>
      <w:r>
        <w:rPr>
          <w:rFonts w:hAnsi="宋体" w:cs="宋体"/>
        </w:rPr>
        <w:t>______________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______________”</w:t>
      </w:r>
      <w:r>
        <w:rPr>
          <w:rFonts w:hAnsi="宋体" w:cs="宋体"/>
        </w:rPr>
        <w:t>两句很好地阐释了</w:t>
      </w:r>
      <w:r>
        <w:rPr>
          <w:rFonts w:hAnsi="宋体" w:cs="宋体"/>
        </w:rPr>
        <w:t>“</w:t>
      </w:r>
      <w:r>
        <w:rPr>
          <w:rFonts w:hAnsi="宋体" w:cs="宋体"/>
        </w:rPr>
        <w:t>文</w:t>
      </w:r>
      <w:r>
        <w:rPr>
          <w:rFonts w:hAnsi="宋体" w:cs="宋体"/>
        </w:rPr>
        <w:t>”</w:t>
      </w:r>
      <w:r>
        <w:rPr>
          <w:rFonts w:hAnsi="宋体" w:cs="宋体"/>
        </w:rPr>
        <w:t>与</w:t>
      </w:r>
      <w:r>
        <w:rPr>
          <w:rFonts w:hAnsi="宋体" w:cs="宋体"/>
        </w:rPr>
        <w:t>“</w:t>
      </w:r>
      <w:r>
        <w:rPr>
          <w:rFonts w:hAnsi="宋体" w:cs="宋体"/>
        </w:rPr>
        <w:t>质</w:t>
      </w:r>
      <w:r>
        <w:rPr>
          <w:rFonts w:hAnsi="宋体" w:cs="宋体"/>
        </w:rPr>
        <w:t>”</w:t>
      </w:r>
      <w:r>
        <w:rPr>
          <w:rFonts w:hAnsi="宋体" w:cs="宋体"/>
        </w:rPr>
        <w:t>的关系：质朴超过了文采就会粗野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文</w:t>
      </w:r>
      <w:r>
        <w:rPr>
          <w:rFonts w:hAnsi="宋体" w:cs="宋体" w:hint="eastAsia"/>
        </w:rPr>
        <w:t>采超过了质朴就会浮夸。</w:t>
      </w:r>
    </w:p>
    <w:p w14:paraId="3C256039" w14:textId="77777777" w:rsidR="001865DE" w:rsidRDefault="001671C6">
      <w:pPr>
        <w:pStyle w:val="a3"/>
        <w:numPr>
          <w:ilvl w:val="0"/>
          <w:numId w:val="3"/>
        </w:numPr>
        <w:tabs>
          <w:tab w:val="left" w:pos="4140"/>
        </w:tabs>
        <w:snapToGrid w:val="0"/>
        <w:spacing w:line="400" w:lineRule="exact"/>
        <w:rPr>
          <w:rFonts w:hAnsi="宋体" w:cs="宋体"/>
        </w:rPr>
      </w:pPr>
      <w:r>
        <w:rPr>
          <w:rFonts w:hAnsi="宋体" w:cs="宋体"/>
        </w:rPr>
        <w:t>孔子在《论语</w:t>
      </w:r>
      <w:r>
        <w:rPr>
          <w:rFonts w:hAnsi="宋体" w:cs="宋体"/>
        </w:rPr>
        <w:t>·</w:t>
      </w:r>
      <w:r>
        <w:rPr>
          <w:rFonts w:hAnsi="宋体" w:cs="宋体"/>
        </w:rPr>
        <w:t>学而》中谈到君子不要求吃饱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不要求居住舒适的句子是：</w:t>
      </w:r>
      <w:r>
        <w:rPr>
          <w:rFonts w:hAnsi="宋体" w:cs="宋体"/>
        </w:rPr>
        <w:t>“____________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____________</w:t>
      </w:r>
      <w:r>
        <w:rPr>
          <w:rFonts w:hAnsi="宋体" w:cs="宋体"/>
        </w:rPr>
        <w:t>。</w:t>
      </w:r>
      <w:r>
        <w:rPr>
          <w:rFonts w:hAnsi="宋体" w:cs="宋体"/>
        </w:rPr>
        <w:t>”</w:t>
      </w:r>
    </w:p>
    <w:p w14:paraId="00E93364" w14:textId="77777777" w:rsidR="001865DE" w:rsidRDefault="001671C6">
      <w:pPr>
        <w:numPr>
          <w:ilvl w:val="0"/>
          <w:numId w:val="3"/>
        </w:numPr>
        <w:spacing w:line="400" w:lineRule="exact"/>
        <w:rPr>
          <w:rFonts w:hAnsi="宋体" w:cs="宋体"/>
        </w:rPr>
      </w:pPr>
      <w:r>
        <w:rPr>
          <w:rFonts w:hAnsi="宋体" w:cs="宋体"/>
        </w:rPr>
        <w:t>《论语</w:t>
      </w:r>
      <w:r>
        <w:rPr>
          <w:rFonts w:hAnsi="宋体" w:cs="宋体"/>
        </w:rPr>
        <w:t>·</w:t>
      </w:r>
      <w:r>
        <w:rPr>
          <w:rFonts w:hAnsi="宋体" w:cs="宋体"/>
        </w:rPr>
        <w:t>卫灵公》中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子贡询问孔子有没有可以拿终身去实践的一个字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孔子告诉他是</w:t>
      </w:r>
      <w:r>
        <w:rPr>
          <w:rFonts w:hAnsi="宋体" w:cs="宋体"/>
        </w:rPr>
        <w:t>“</w:t>
      </w:r>
      <w:r>
        <w:rPr>
          <w:rFonts w:hAnsi="宋体" w:cs="宋体"/>
        </w:rPr>
        <w:t>恕</w:t>
      </w:r>
      <w:r>
        <w:rPr>
          <w:rFonts w:hAnsi="宋体" w:cs="宋体"/>
        </w:rPr>
        <w:t>”</w:t>
      </w:r>
      <w:r>
        <w:rPr>
          <w:rFonts w:hAnsi="宋体" w:cs="宋体"/>
        </w:rPr>
        <w:t>。接着孔子又对</w:t>
      </w:r>
      <w:r>
        <w:rPr>
          <w:rFonts w:hAnsi="宋体" w:cs="宋体"/>
        </w:rPr>
        <w:t>“</w:t>
      </w:r>
      <w:r>
        <w:rPr>
          <w:rFonts w:hAnsi="宋体" w:cs="宋体"/>
        </w:rPr>
        <w:t>恕</w:t>
      </w:r>
      <w:r>
        <w:rPr>
          <w:rFonts w:hAnsi="宋体" w:cs="宋体"/>
        </w:rPr>
        <w:t>”</w:t>
      </w:r>
      <w:r>
        <w:rPr>
          <w:rFonts w:hAnsi="宋体" w:cs="宋体"/>
        </w:rPr>
        <w:t>做了进一步的解释：</w:t>
      </w:r>
      <w:r>
        <w:rPr>
          <w:rFonts w:hAnsi="宋体" w:cs="宋体"/>
        </w:rPr>
        <w:t>“</w:t>
      </w:r>
      <w:r>
        <w:rPr>
          <w:rFonts w:hAnsi="宋体" w:cs="宋体" w:hint="eastAsia"/>
        </w:rPr>
        <w:t>____________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______</w:t>
      </w:r>
      <w:r>
        <w:rPr>
          <w:rFonts w:hAnsi="宋体" w:cs="宋体"/>
        </w:rPr>
        <w:t>______</w:t>
      </w:r>
      <w:r>
        <w:rPr>
          <w:rFonts w:hAnsi="宋体" w:cs="宋体"/>
        </w:rPr>
        <w:t>。</w:t>
      </w:r>
      <w:r>
        <w:rPr>
          <w:rFonts w:hAnsi="宋体" w:cs="宋体"/>
        </w:rPr>
        <w:t>”</w:t>
      </w:r>
    </w:p>
    <w:p w14:paraId="0D653E26" w14:textId="77777777" w:rsidR="001865DE" w:rsidRDefault="001671C6">
      <w:pPr>
        <w:numPr>
          <w:ilvl w:val="0"/>
          <w:numId w:val="3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在《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&lt;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论语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&gt;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十二章》中，孔子认为一旦克制自己，按照礼的要求去做了，天下的人就都赞许你是仁人的句子是：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.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。</w:t>
      </w:r>
    </w:p>
    <w:p w14:paraId="000E01D7" w14:textId="77777777" w:rsidR="001865DE" w:rsidRDefault="001671C6">
      <w:pPr>
        <w:numPr>
          <w:ilvl w:val="0"/>
          <w:numId w:val="3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  <w:u w:val="single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在《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&lt;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论语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&gt;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十二章》中，孔子认为实行仁德，在于自己，不在与别人的句子是：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。</w:t>
      </w:r>
    </w:p>
    <w:p w14:paraId="34693F67" w14:textId="77777777" w:rsidR="001865DE" w:rsidRDefault="001671C6">
      <w:pPr>
        <w:numPr>
          <w:ilvl w:val="0"/>
          <w:numId w:val="3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  <w:u w:val="single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孔子在《论语·学而》中谈到君子不要求吃足，不要求居住舒适的句子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lastRenderedPageBreak/>
        <w:t>是：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。</w:t>
      </w:r>
    </w:p>
    <w:p w14:paraId="44B22DA5" w14:textId="77777777" w:rsidR="001865DE" w:rsidRDefault="001671C6">
      <w:pPr>
        <w:numPr>
          <w:ilvl w:val="0"/>
          <w:numId w:val="3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孔子在《论语·里仁》中谈到君子和小人不同的义利观的句子是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：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。</w:t>
      </w:r>
    </w:p>
    <w:p w14:paraId="028DECE6" w14:textId="77777777" w:rsidR="001865DE" w:rsidRDefault="001671C6">
      <w:pPr>
        <w:numPr>
          <w:ilvl w:val="0"/>
          <w:numId w:val="3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唐太宗李世民曾说“以人为鉴，可以明得失”，由此可以联想到《论语·里仁》中的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。”</w:t>
      </w:r>
    </w:p>
    <w:p w14:paraId="19C5D62D" w14:textId="77777777" w:rsidR="001865DE" w:rsidRDefault="001865DE">
      <w:pPr>
        <w:spacing w:line="400" w:lineRule="exact"/>
        <w:rPr>
          <w:rFonts w:hAnsi="宋体" w:cs="宋体"/>
        </w:rPr>
      </w:pPr>
    </w:p>
    <w:p w14:paraId="55B62CAE" w14:textId="77777777" w:rsidR="001865DE" w:rsidRDefault="001671C6">
      <w:pPr>
        <w:spacing w:line="400" w:lineRule="exact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《</w:t>
      </w:r>
      <w:r>
        <w:rPr>
          <w:rFonts w:hint="eastAsia"/>
          <w:b/>
          <w:bCs/>
        </w:rPr>
        <w:t>大学之道</w:t>
      </w:r>
      <w:r>
        <w:rPr>
          <w:rFonts w:hint="eastAsia"/>
          <w:b/>
          <w:bCs/>
        </w:rPr>
        <w:t>》</w:t>
      </w:r>
    </w:p>
    <w:p w14:paraId="48DCDFC2" w14:textId="77777777" w:rsidR="001865DE" w:rsidRDefault="001671C6">
      <w:pPr>
        <w:pStyle w:val="a3"/>
        <w:numPr>
          <w:ilvl w:val="0"/>
          <w:numId w:val="4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作</w:t>
      </w:r>
      <w:r>
        <w:rPr>
          <w:rFonts w:ascii="Times New Roman" w:hAnsi="Times New Roman" w:cs="Times New Roman" w:hint="eastAsia"/>
        </w:rPr>
        <w:t>者认为</w:t>
      </w:r>
      <w:r>
        <w:rPr>
          <w:rFonts w:hAnsi="宋体" w:cs="Times New Roman" w:hint="eastAsia"/>
        </w:rPr>
        <w:t>“</w:t>
      </w:r>
      <w:r>
        <w:rPr>
          <w:rFonts w:ascii="Times New Roman" w:hAnsi="Times New Roman" w:cs="Times New Roman" w:hint="eastAsia"/>
        </w:rPr>
        <w:t>大学</w:t>
      </w:r>
      <w:r>
        <w:rPr>
          <w:rFonts w:hAnsi="宋体" w:cs="Times New Roman" w:hint="eastAsia"/>
        </w:rPr>
        <w:t>”</w:t>
      </w:r>
      <w:r>
        <w:rPr>
          <w:rFonts w:ascii="Times New Roman" w:hAnsi="Times New Roman" w:cs="Times New Roman" w:hint="eastAsia"/>
        </w:rPr>
        <w:t>的宗旨就是：</w:t>
      </w:r>
      <w:r>
        <w:rPr>
          <w:rFonts w:ascii="Times New Roman" w:hAnsi="Times New Roman" w:cs="Times New Roman"/>
        </w:rPr>
        <w:t>______________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______________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______________</w:t>
      </w:r>
      <w:r>
        <w:rPr>
          <w:rFonts w:ascii="Times New Roman" w:hAnsi="Times New Roman" w:cs="Times New Roman"/>
        </w:rPr>
        <w:t>。</w:t>
      </w:r>
    </w:p>
    <w:p w14:paraId="5C80F96E" w14:textId="77777777" w:rsidR="001865DE" w:rsidRDefault="001671C6">
      <w:pPr>
        <w:pStyle w:val="a3"/>
        <w:numPr>
          <w:ilvl w:val="0"/>
          <w:numId w:val="4"/>
        </w:numPr>
        <w:tabs>
          <w:tab w:val="left" w:pos="4140"/>
        </w:tabs>
        <w:snapToGrid w:val="0"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在修养品性这件事上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作者认为人无贵贱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应一视同仁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于是强调说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______________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______________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。</w:t>
      </w:r>
    </w:p>
    <w:p w14:paraId="5AEDD6A3" w14:textId="77777777" w:rsidR="001865DE" w:rsidRDefault="001671C6">
      <w:pPr>
        <w:pStyle w:val="a3"/>
        <w:numPr>
          <w:ilvl w:val="0"/>
          <w:numId w:val="4"/>
        </w:numPr>
        <w:tabs>
          <w:tab w:val="left" w:pos="4140"/>
        </w:tabs>
        <w:snapToGrid w:val="0"/>
        <w:spacing w:line="400" w:lineRule="exact"/>
        <w:rPr>
          <w:rFonts w:hAnsi="宋体" w:cs="宋体"/>
        </w:rPr>
      </w:pPr>
      <w:r>
        <w:rPr>
          <w:rFonts w:hAnsi="宋体" w:cs="宋体"/>
        </w:rPr>
        <w:t>《大学之道》中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提出普天之下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不论身份高低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都应将加强个人品性修养作为根本的句子是：</w:t>
      </w:r>
      <w:r>
        <w:rPr>
          <w:rFonts w:hAnsi="宋体" w:cs="宋体"/>
        </w:rPr>
        <w:t>“ ____________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____________</w:t>
      </w:r>
      <w:r>
        <w:rPr>
          <w:rFonts w:hAnsi="宋体" w:cs="宋体"/>
        </w:rPr>
        <w:t>。</w:t>
      </w:r>
      <w:r>
        <w:rPr>
          <w:rFonts w:hAnsi="宋体" w:cs="宋体"/>
        </w:rPr>
        <w:t>”</w:t>
      </w:r>
    </w:p>
    <w:p w14:paraId="715017B5" w14:textId="77777777" w:rsidR="001865DE" w:rsidRDefault="001671C6">
      <w:pPr>
        <w:pStyle w:val="a3"/>
        <w:numPr>
          <w:ilvl w:val="0"/>
          <w:numId w:val="4"/>
        </w:numPr>
        <w:tabs>
          <w:tab w:val="left" w:pos="4140"/>
        </w:tabs>
        <w:snapToGrid w:val="0"/>
        <w:spacing w:line="400" w:lineRule="exact"/>
        <w:rPr>
          <w:rFonts w:hAnsi="宋体" w:cs="宋体"/>
        </w:rPr>
      </w:pPr>
      <w:r>
        <w:rPr>
          <w:rFonts w:hAnsi="宋体" w:cs="宋体"/>
        </w:rPr>
        <w:t>《大学之道》中点明获得知识的途径的句子是：</w:t>
      </w:r>
      <w:r>
        <w:rPr>
          <w:rFonts w:hAnsi="宋体" w:cs="宋体"/>
        </w:rPr>
        <w:t>“____________</w:t>
      </w:r>
      <w:r>
        <w:rPr>
          <w:rFonts w:hAnsi="宋体" w:cs="宋体"/>
        </w:rPr>
        <w:t>。</w:t>
      </w:r>
      <w:r>
        <w:rPr>
          <w:rFonts w:hAnsi="宋体" w:cs="宋体"/>
        </w:rPr>
        <w:t>”</w:t>
      </w:r>
    </w:p>
    <w:p w14:paraId="28AA7B8F" w14:textId="77777777" w:rsidR="001865DE" w:rsidRDefault="001671C6">
      <w:pPr>
        <w:numPr>
          <w:ilvl w:val="0"/>
          <w:numId w:val="4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《大学之道》中，写明白了这本末始终的道理，就接近事物发展的规律了的句子是</w:t>
      </w:r>
    </w:p>
    <w:p w14:paraId="2F52D9B8" w14:textId="77777777" w:rsidR="001865DE" w:rsidRDefault="001671C6">
      <w:pPr>
        <w:numPr>
          <w:ilvl w:val="0"/>
          <w:numId w:val="4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”。</w:t>
      </w:r>
    </w:p>
    <w:p w14:paraId="1877273C" w14:textId="77777777" w:rsidR="001865DE" w:rsidRDefault="001671C6">
      <w:pPr>
        <w:numPr>
          <w:ilvl w:val="0"/>
          <w:numId w:val="4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《大学之道》中，写要想治理好自己的国家，先使家族中的各种关系整齐有序的句子是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”。</w:t>
      </w:r>
    </w:p>
    <w:p w14:paraId="2E28F5E6" w14:textId="77777777" w:rsidR="001865DE" w:rsidRDefault="001671C6">
      <w:pPr>
        <w:numPr>
          <w:ilvl w:val="0"/>
          <w:numId w:val="4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《大学之道》中，写要想使家族中的各种关系整齐有序，先要修养自身的品性的句子是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”。</w:t>
      </w:r>
    </w:p>
    <w:p w14:paraId="746E4EDF" w14:textId="77777777" w:rsidR="001865DE" w:rsidRDefault="001671C6">
      <w:pPr>
        <w:numPr>
          <w:ilvl w:val="0"/>
          <w:numId w:val="4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  <w:u w:val="single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《大学之道》中，写要想修养自身的品性，先要端正自己的心思的句子是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”。</w:t>
      </w:r>
    </w:p>
    <w:p w14:paraId="46D4A471" w14:textId="77777777" w:rsidR="001865DE" w:rsidRDefault="001671C6">
      <w:pPr>
        <w:numPr>
          <w:ilvl w:val="0"/>
          <w:numId w:val="4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  <w:u w:val="single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《大学之道》中，写要想端正自己的心思，先要使自己的意念真诚的句子是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”。</w:t>
      </w:r>
    </w:p>
    <w:p w14:paraId="66B55E63" w14:textId="77777777" w:rsidR="001865DE" w:rsidRDefault="001671C6">
      <w:pPr>
        <w:numPr>
          <w:ilvl w:val="0"/>
          <w:numId w:val="4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  <w:u w:val="single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《大学之道》中，写要想使自己的意念真诚，先要获得知识的句子是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”。</w:t>
      </w:r>
    </w:p>
    <w:p w14:paraId="56F2E5EA" w14:textId="77777777" w:rsidR="001865DE" w:rsidRDefault="001671C6">
      <w:pPr>
        <w:numPr>
          <w:ilvl w:val="0"/>
          <w:numId w:val="4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《大学之道》中，写获得知识的办法在于探究事物的原理的句子是，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”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。</w:t>
      </w:r>
    </w:p>
    <w:p w14:paraId="3F6B15B4" w14:textId="77777777" w:rsidR="001865DE" w:rsidRDefault="001865DE">
      <w:pPr>
        <w:pStyle w:val="a3"/>
        <w:tabs>
          <w:tab w:val="left" w:pos="4140"/>
        </w:tabs>
        <w:snapToGrid w:val="0"/>
        <w:spacing w:line="400" w:lineRule="exact"/>
        <w:rPr>
          <w:rFonts w:hAnsi="宋体" w:cs="宋体"/>
        </w:rPr>
      </w:pPr>
    </w:p>
    <w:p w14:paraId="0A2C701D" w14:textId="77777777" w:rsidR="001865DE" w:rsidRDefault="001671C6">
      <w:pPr>
        <w:pStyle w:val="a3"/>
        <w:tabs>
          <w:tab w:val="left" w:pos="4140"/>
        </w:tabs>
        <w:snapToGrid w:val="0"/>
        <w:spacing w:line="400" w:lineRule="exact"/>
        <w:ind w:firstLineChars="200" w:firstLine="422"/>
        <w:rPr>
          <w:rFonts w:hAnsi="宋体" w:cs="宋体"/>
          <w:b/>
          <w:bCs/>
        </w:rPr>
      </w:pPr>
      <w:r>
        <w:rPr>
          <w:rFonts w:hAnsi="宋体" w:cs="宋体" w:hint="eastAsia"/>
          <w:b/>
          <w:bCs/>
        </w:rPr>
        <w:t>《</w:t>
      </w:r>
      <w:r>
        <w:rPr>
          <w:rFonts w:hAnsi="宋体" w:cs="宋体" w:hint="eastAsia"/>
          <w:b/>
          <w:bCs/>
        </w:rPr>
        <w:t>老子四章</w:t>
      </w:r>
      <w:r>
        <w:rPr>
          <w:rFonts w:hAnsi="宋体" w:cs="宋体" w:hint="eastAsia"/>
          <w:b/>
          <w:bCs/>
        </w:rPr>
        <w:t>》</w:t>
      </w:r>
    </w:p>
    <w:p w14:paraId="65D5B437" w14:textId="77777777" w:rsidR="001865DE" w:rsidRDefault="001671C6">
      <w:pPr>
        <w:pStyle w:val="a3"/>
        <w:numPr>
          <w:ilvl w:val="0"/>
          <w:numId w:val="5"/>
        </w:numPr>
        <w:tabs>
          <w:tab w:val="left" w:pos="4140"/>
        </w:tabs>
        <w:snapToGrid w:val="0"/>
        <w:spacing w:line="400" w:lineRule="exact"/>
        <w:rPr>
          <w:rFonts w:hAnsi="宋体" w:cs="宋体"/>
        </w:rPr>
      </w:pPr>
      <w:r>
        <w:rPr>
          <w:rFonts w:hAnsi="宋体" w:cs="宋体"/>
        </w:rPr>
        <w:t>《老子》</w:t>
      </w:r>
      <w:r>
        <w:rPr>
          <w:rFonts w:hAnsi="宋体" w:cs="宋体"/>
        </w:rPr>
        <w:t>(</w:t>
      </w:r>
      <w:r>
        <w:rPr>
          <w:rFonts w:hAnsi="宋体" w:cs="宋体"/>
        </w:rPr>
        <w:t>第六十四章</w:t>
      </w:r>
      <w:r>
        <w:rPr>
          <w:rFonts w:hAnsi="宋体" w:cs="宋体"/>
        </w:rPr>
        <w:t>)</w:t>
      </w:r>
      <w:r>
        <w:rPr>
          <w:rFonts w:hAnsi="宋体" w:cs="宋体"/>
        </w:rPr>
        <w:t>中体现</w:t>
      </w:r>
      <w:r>
        <w:rPr>
          <w:rFonts w:hAnsi="宋体" w:cs="宋体"/>
        </w:rPr>
        <w:t>“</w:t>
      </w:r>
      <w:r>
        <w:rPr>
          <w:rFonts w:hAnsi="宋体" w:cs="宋体"/>
        </w:rPr>
        <w:t>很遥远的行程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是从脚</w:t>
      </w:r>
      <w:r>
        <w:rPr>
          <w:rFonts w:hAnsi="宋体" w:cs="宋体" w:hint="eastAsia"/>
        </w:rPr>
        <w:t>下那一小步走出来的”一句是“</w:t>
      </w:r>
      <w:r>
        <w:rPr>
          <w:rFonts w:hAnsi="宋体" w:cs="宋体"/>
        </w:rPr>
        <w:t>______________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______________”</w:t>
      </w:r>
      <w:r>
        <w:rPr>
          <w:rFonts w:hAnsi="宋体" w:cs="宋体"/>
        </w:rPr>
        <w:t>。</w:t>
      </w:r>
    </w:p>
    <w:p w14:paraId="526F9E36" w14:textId="77777777" w:rsidR="001865DE" w:rsidRDefault="001671C6">
      <w:pPr>
        <w:pStyle w:val="a3"/>
        <w:numPr>
          <w:ilvl w:val="0"/>
          <w:numId w:val="5"/>
        </w:numPr>
        <w:tabs>
          <w:tab w:val="left" w:pos="4140"/>
        </w:tabs>
        <w:snapToGrid w:val="0"/>
        <w:spacing w:line="400" w:lineRule="exact"/>
        <w:rPr>
          <w:rFonts w:hAnsi="宋体" w:cs="宋体"/>
        </w:rPr>
      </w:pPr>
      <w:r>
        <w:rPr>
          <w:rFonts w:hAnsi="宋体" w:cs="宋体"/>
        </w:rPr>
        <w:t>《老子》认为了解别人的人是智慧的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了解自己的人是高明通达的两句是</w:t>
      </w:r>
      <w:r>
        <w:rPr>
          <w:rFonts w:hAnsi="宋体" w:cs="宋体"/>
        </w:rPr>
        <w:t>“______________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______________”</w:t>
      </w:r>
      <w:r>
        <w:rPr>
          <w:rFonts w:hAnsi="宋体" w:cs="宋体"/>
        </w:rPr>
        <w:t>。</w:t>
      </w:r>
    </w:p>
    <w:p w14:paraId="1F155D9A" w14:textId="77777777" w:rsidR="001865DE" w:rsidRDefault="001671C6">
      <w:pPr>
        <w:pStyle w:val="a3"/>
        <w:numPr>
          <w:ilvl w:val="0"/>
          <w:numId w:val="5"/>
        </w:numPr>
        <w:tabs>
          <w:tab w:val="left" w:pos="4140"/>
        </w:tabs>
        <w:snapToGrid w:val="0"/>
        <w:spacing w:line="400" w:lineRule="exact"/>
        <w:rPr>
          <w:rFonts w:hAnsi="宋体" w:cs="宋体"/>
        </w:rPr>
      </w:pPr>
      <w:r>
        <w:rPr>
          <w:rFonts w:hAnsi="宋体" w:cs="宋体"/>
        </w:rPr>
        <w:t>《老子》阐述了事物发展变化的规律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认为大的东西无不从极其细微的事物发展而</w:t>
      </w:r>
      <w:r>
        <w:rPr>
          <w:rFonts w:hAnsi="宋体" w:cs="宋体"/>
        </w:rPr>
        <w:lastRenderedPageBreak/>
        <w:t>来的句子是</w:t>
      </w:r>
      <w:r>
        <w:rPr>
          <w:rFonts w:hAnsi="宋体" w:cs="宋体"/>
        </w:rPr>
        <w:t>“____________</w:t>
      </w:r>
      <w:r>
        <w:rPr>
          <w:rFonts w:hAnsi="宋体" w:cs="宋体" w:hint="eastAsia"/>
        </w:rPr>
        <w:t>，</w:t>
      </w:r>
      <w:r>
        <w:rPr>
          <w:rFonts w:hAnsi="宋体" w:cs="宋体"/>
        </w:rPr>
        <w:t>______________”</w:t>
      </w:r>
      <w:r>
        <w:rPr>
          <w:rFonts w:hAnsi="宋体" w:cs="宋体"/>
        </w:rPr>
        <w:t>。</w:t>
      </w:r>
    </w:p>
    <w:p w14:paraId="11B4AA93" w14:textId="77777777" w:rsidR="001865DE" w:rsidRDefault="001671C6">
      <w:pPr>
        <w:numPr>
          <w:ilvl w:val="0"/>
          <w:numId w:val="5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了解别人很重要，认识自己更难能可贵，在《老子》四章中表达这一意思的句子是“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”。</w:t>
      </w:r>
    </w:p>
    <w:p w14:paraId="5B0083C5" w14:textId="77777777" w:rsidR="001865DE" w:rsidRDefault="001671C6">
      <w:pPr>
        <w:numPr>
          <w:ilvl w:val="0"/>
          <w:numId w:val="5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《老子四章》中劝诫人不要固执己见、自以为是的两句是：“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。”</w:t>
      </w:r>
    </w:p>
    <w:p w14:paraId="3DCC0983" w14:textId="77777777" w:rsidR="001865DE" w:rsidRDefault="001671C6">
      <w:pPr>
        <w:numPr>
          <w:ilvl w:val="0"/>
          <w:numId w:val="5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我们常说要防患于未然，要未雨绸缪，在《老子四章》里也表达了同样的意思的句子是“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”。</w:t>
      </w:r>
    </w:p>
    <w:p w14:paraId="5795C479" w14:textId="77777777" w:rsidR="001865DE" w:rsidRDefault="001671C6">
      <w:pPr>
        <w:numPr>
          <w:ilvl w:val="0"/>
          <w:numId w:val="5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《老子》四章中指出，人们做事常常是在接近成功时候失败了，即“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”，如果能做到“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”，就不会失败。</w:t>
      </w:r>
    </w:p>
    <w:p w14:paraId="279F46A7" w14:textId="77777777" w:rsidR="001865DE" w:rsidRDefault="001671C6">
      <w:pPr>
        <w:numPr>
          <w:ilvl w:val="0"/>
          <w:numId w:val="5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《老子》第六十四章中体现“很遥远的行程，是从期下那一小步走出来的”一句是“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”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。</w:t>
      </w:r>
    </w:p>
    <w:p w14:paraId="24662F57" w14:textId="77777777" w:rsidR="001865DE" w:rsidRDefault="001671C6">
      <w:pPr>
        <w:numPr>
          <w:ilvl w:val="0"/>
          <w:numId w:val="5"/>
        </w:numPr>
        <w:spacing w:line="400" w:lineRule="exact"/>
        <w:rPr>
          <w:rFonts w:asciiTheme="minorEastAsia" w:eastAsiaTheme="minorEastAsia" w:hAnsiTheme="minorEastAsia" w:cs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在老子看来，“知人”十分重要，但是“自知”更加重要，表现这一思想的句子是：“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。”老子以“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”为喻，引出“自见者”“自是者”“自伐者”“自矜者”的后果都是不好的。</w:t>
      </w:r>
    </w:p>
    <w:p w14:paraId="7F32D8B2" w14:textId="77777777" w:rsidR="001865DE" w:rsidRDefault="001671C6">
      <w:pPr>
        <w:numPr>
          <w:ilvl w:val="0"/>
          <w:numId w:val="5"/>
        </w:numPr>
        <w:spacing w:line="400" w:lineRule="exact"/>
      </w:pP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老子认为，在最后关头仍像开始的时候那样谨慎从事，就不会让事情失败的句子是：“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  <w:u w:val="single"/>
        </w:rPr>
        <w:t xml:space="preserve">                   </w:t>
      </w:r>
      <w:r>
        <w:rPr>
          <w:rFonts w:asciiTheme="minorEastAsia" w:eastAsiaTheme="minorEastAsia" w:hAnsiTheme="minorEastAsia" w:cstheme="minorEastAsia" w:hint="eastAsia"/>
          <w:bCs/>
          <w:color w:val="000000" w:themeColor="text1"/>
          <w:szCs w:val="21"/>
        </w:rPr>
        <w:t>。”</w:t>
      </w:r>
    </w:p>
    <w:sectPr w:rsidR="001865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2DFB137"/>
    <w:multiLevelType w:val="singleLevel"/>
    <w:tmpl w:val="B2DFB137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BCDFBB48"/>
    <w:multiLevelType w:val="singleLevel"/>
    <w:tmpl w:val="BCDFBB48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CCF2F244"/>
    <w:multiLevelType w:val="singleLevel"/>
    <w:tmpl w:val="CCF2F24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E7505067"/>
    <w:multiLevelType w:val="singleLevel"/>
    <w:tmpl w:val="E7505067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 w15:restartNumberingAfterBreak="0">
    <w:nsid w:val="F687FD4F"/>
    <w:multiLevelType w:val="singleLevel"/>
    <w:tmpl w:val="F687FD4F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7A04665"/>
    <w:rsid w:val="001671C6"/>
    <w:rsid w:val="001865DE"/>
    <w:rsid w:val="0088278B"/>
    <w:rsid w:val="4F70595E"/>
    <w:rsid w:val="67A0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A5FFDC"/>
  <w15:docId w15:val="{685243B0-4196-4AB9-A749-53A940EF4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小文芳</dc:creator>
  <cp:lastModifiedBy>872464947@qq.com</cp:lastModifiedBy>
  <cp:revision>2</cp:revision>
  <dcterms:created xsi:type="dcterms:W3CDTF">2022-01-13T09:54:00Z</dcterms:created>
  <dcterms:modified xsi:type="dcterms:W3CDTF">2022-01-13T09:54:00Z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1FD3094B840A4CFEB4F542ED4798754A</vt:lpwstr>
  </property>
</Properties>
</file>