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</w:pPr>
    </w:p>
    <w:tbl>
      <w:tblPr>
        <w:tblStyle w:val="5"/>
        <w:tblW w:w="8522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3"/>
        <w:gridCol w:w="884"/>
        <w:gridCol w:w="741"/>
        <w:gridCol w:w="1057"/>
        <w:gridCol w:w="1136"/>
        <w:gridCol w:w="991"/>
        <w:gridCol w:w="1077"/>
        <w:gridCol w:w="1383"/>
      </w:tblGrid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852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28"/>
                <w:lang w:val="zh-TW" w:eastAsia="zh-TW"/>
              </w:rPr>
              <w:t>晋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28"/>
                <w:lang w:val="en-US" w:eastAsia="zh-CN"/>
              </w:rPr>
              <w:t>级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28"/>
                <w:lang w:val="zh-TW" w:eastAsia="zh-TW"/>
              </w:rPr>
              <w:t>申请表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</w:pPr>
            <w:r>
              <w:rPr>
                <w:rFonts w:ascii="微软雅黑" w:hAnsi="微软雅黑" w:eastAsia="微软雅黑" w:cs="微软雅黑"/>
                <w:lang w:val="zh-TW" w:eastAsia="zh-TW"/>
              </w:rPr>
              <w:t>申请人</w:t>
            </w: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王灿平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</w:pPr>
            <w:r>
              <w:rPr>
                <w:rFonts w:ascii="微软雅黑" w:hAnsi="微软雅黑" w:eastAsia="微软雅黑" w:cs="微软雅黑"/>
                <w:lang w:val="zh-TW" w:eastAsia="zh-TW"/>
              </w:rPr>
              <w:t>部门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后台中心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</w:pPr>
            <w:r>
              <w:rPr>
                <w:rFonts w:ascii="微软雅黑" w:hAnsi="微软雅黑" w:eastAsia="微软雅黑" w:cs="微软雅黑"/>
                <w:lang w:val="zh-TW" w:eastAsia="zh-TW"/>
              </w:rPr>
              <w:t>职位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</w:pP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</w:pPr>
            <w:r>
              <w:rPr>
                <w:rFonts w:ascii="微软雅黑" w:hAnsi="微软雅黑" w:eastAsia="微软雅黑" w:cs="微软雅黑"/>
                <w:lang w:val="zh-TW" w:eastAsia="zh-TW"/>
              </w:rPr>
              <w:t>入职日期</w:t>
            </w:r>
          </w:p>
        </w:tc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2019.11.1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</w:pPr>
            <w:r>
              <w:rPr>
                <w:rFonts w:ascii="微软雅黑" w:hAnsi="微软雅黑" w:eastAsia="微软雅黑" w:cs="微软雅黑"/>
                <w:lang w:val="zh-TW" w:eastAsia="zh-TW"/>
              </w:rPr>
              <w:t>所在职级</w:t>
            </w:r>
          </w:p>
        </w:tc>
        <w:tc>
          <w:tcPr>
            <w:tcW w:w="268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3级和4级之间</w:t>
            </w:r>
          </w:p>
          <w:p>
            <w:pPr>
              <w:pStyle w:val="7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（税前12000）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</w:pPr>
            <w:r>
              <w:rPr>
                <w:rFonts w:ascii="微软雅黑" w:hAnsi="微软雅黑" w:eastAsia="微软雅黑" w:cs="微软雅黑"/>
                <w:lang w:val="zh-TW" w:eastAsia="zh-TW"/>
              </w:rPr>
              <w:t>申请职级</w:t>
            </w:r>
          </w:p>
        </w:tc>
        <w:tc>
          <w:tcPr>
            <w:tcW w:w="345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</w:pP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5" w:hRule="atLeast"/>
        </w:trPr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  <w:rPr>
                <w:rFonts w:ascii="微软雅黑" w:hAnsi="微软雅黑" w:eastAsia="微软雅黑" w:cs="微软雅黑"/>
                <w:b/>
                <w:bCs/>
                <w:lang w:val="zh-TW" w:eastAsia="zh-TW"/>
              </w:rPr>
            </w:pPr>
          </w:p>
          <w:p>
            <w:pPr>
              <w:pStyle w:val="7"/>
              <w:rPr>
                <w:rFonts w:ascii="微软雅黑" w:hAnsi="微软雅黑" w:eastAsia="微软雅黑" w:cs="微软雅黑"/>
                <w:b/>
                <w:bCs/>
                <w:lang w:val="zh-TW" w:eastAsia="zh-TW"/>
              </w:rPr>
            </w:pPr>
          </w:p>
          <w:p>
            <w:pPr>
              <w:pStyle w:val="7"/>
              <w:rPr>
                <w:rFonts w:ascii="微软雅黑" w:hAnsi="微软雅黑" w:eastAsia="微软雅黑" w:cs="微软雅黑"/>
                <w:b/>
                <w:bCs/>
                <w:lang w:val="zh-TW" w:eastAsia="zh-TW"/>
              </w:rPr>
            </w:pPr>
          </w:p>
          <w:p>
            <w:pPr>
              <w:pStyle w:val="7"/>
              <w:rPr>
                <w:rFonts w:ascii="微软雅黑" w:hAnsi="微软雅黑" w:eastAsia="微软雅黑" w:cs="微软雅黑"/>
                <w:b/>
                <w:bCs/>
                <w:lang w:val="zh-TW" w:eastAsia="zh-TW"/>
              </w:rPr>
            </w:pPr>
          </w:p>
          <w:p>
            <w:pPr>
              <w:pStyle w:val="7"/>
            </w:pPr>
            <w:r>
              <w:rPr>
                <w:rFonts w:ascii="微软雅黑" w:hAnsi="微软雅黑" w:eastAsia="微软雅黑" w:cs="微软雅黑"/>
                <w:b/>
                <w:bCs/>
                <w:lang w:val="zh-TW" w:eastAsia="zh-TW"/>
              </w:rPr>
              <w:t>申请人陈述晋升理由</w:t>
            </w:r>
          </w:p>
        </w:tc>
        <w:tc>
          <w:tcPr>
            <w:tcW w:w="726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</w:pPr>
            <w:r>
              <w:rPr>
                <w:rFonts w:ascii="微软雅黑" w:hAnsi="微软雅黑" w:eastAsia="微软雅黑" w:cs="微软雅黑"/>
                <w:lang w:val="zh-TW" w:eastAsia="zh-TW"/>
              </w:rPr>
              <w:t>（简要阐述工作职责和具体贡献举证）</w:t>
            </w:r>
          </w:p>
          <w:p>
            <w:pPr>
              <w:pStyle w:val="7"/>
              <w:rPr>
                <w:rFonts w:hint="default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zh-TW" w:eastAsia="zh-TW"/>
              </w:rPr>
              <w:t>工作职责：</w:t>
            </w: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负责人力和行政相关管理工作，包括但不仅仅限于：</w:t>
            </w:r>
          </w:p>
          <w:p>
            <w:pPr>
              <w:pStyle w:val="7"/>
              <w:numPr>
                <w:ilvl w:val="0"/>
                <w:numId w:val="1"/>
              </w:numPr>
              <w:rPr>
                <w:rFonts w:hint="eastAsia" w:ascii="微软雅黑" w:hAnsi="微软雅黑" w:eastAsia="微软雅黑" w:cs="微软雅黑"/>
                <w:color w:val="0F243E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F243E"/>
                <w:kern w:val="0"/>
                <w:sz w:val="21"/>
                <w:szCs w:val="21"/>
                <w:lang w:val="en-US" w:eastAsia="zh-CN" w:bidi="ar-SA"/>
              </w:rPr>
              <w:t>根据公司发展需要，负责组织人才的招募和培养，</w:t>
            </w:r>
            <w:r>
              <w:rPr>
                <w:rFonts w:hint="eastAsia" w:ascii="微软雅黑" w:hAnsi="微软雅黑" w:eastAsia="微软雅黑" w:cs="微软雅黑"/>
                <w:color w:val="0F243E"/>
                <w:kern w:val="0"/>
                <w:sz w:val="21"/>
                <w:szCs w:val="21"/>
                <w:lang w:val="en-US" w:eastAsia="zh-CN" w:bidi="ar-SA"/>
              </w:rPr>
              <w:t>优先制定和推动实施关键人才（AR）培养；</w:t>
            </w:r>
          </w:p>
          <w:p>
            <w:pPr>
              <w:pStyle w:val="7"/>
              <w:numPr>
                <w:ilvl w:val="0"/>
                <w:numId w:val="1"/>
              </w:numPr>
              <w:rPr>
                <w:rFonts w:hint="eastAsia" w:ascii="微软雅黑" w:hAnsi="微软雅黑" w:eastAsia="微软雅黑" w:cs="微软雅黑"/>
                <w:color w:val="0F243E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F243E"/>
                <w:kern w:val="0"/>
                <w:sz w:val="21"/>
                <w:szCs w:val="21"/>
                <w:lang w:val="en-US" w:eastAsia="zh-CN" w:bidi="ar-SA"/>
              </w:rPr>
              <w:t>负责公司相关管理类工作的协调和推进实施，包括：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eastAsia" w:ascii="微软雅黑" w:hAnsi="微软雅黑" w:eastAsia="微软雅黑" w:cs="微软雅黑"/>
                <w:color w:val="0F243E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F243E"/>
                <w:sz w:val="21"/>
                <w:szCs w:val="21"/>
                <w:lang w:val="en-US" w:eastAsia="zh-CN"/>
              </w:rPr>
              <w:t>OKR管理工作的实施、改进和流程化；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eastAsia" w:ascii="微软雅黑" w:hAnsi="微软雅黑" w:eastAsia="微软雅黑" w:cs="微软雅黑"/>
                <w:color w:val="0F243E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F243E"/>
                <w:sz w:val="21"/>
                <w:szCs w:val="21"/>
                <w:lang w:val="en-US" w:eastAsia="zh-CN"/>
              </w:rPr>
              <w:t>新员工的相关手续、培训等管理工作的推行；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eastAsia" w:ascii="微软雅黑" w:hAnsi="微软雅黑" w:eastAsia="微软雅黑" w:cs="微软雅黑"/>
                <w:color w:val="0F243E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F243E"/>
                <w:sz w:val="21"/>
                <w:szCs w:val="21"/>
                <w:lang w:eastAsia="zh-CN"/>
              </w:rPr>
              <w:t>项目制</w:t>
            </w:r>
            <w:r>
              <w:rPr>
                <w:rFonts w:hint="eastAsia" w:ascii="微软雅黑" w:hAnsi="微软雅黑" w:eastAsia="微软雅黑" w:cs="微软雅黑"/>
                <w:color w:val="0F243E"/>
                <w:sz w:val="21"/>
                <w:szCs w:val="21"/>
                <w:lang w:val="en-US" w:eastAsia="zh-CN"/>
              </w:rPr>
              <w:t>建设和</w:t>
            </w:r>
            <w:r>
              <w:rPr>
                <w:rFonts w:hint="eastAsia" w:ascii="微软雅黑" w:hAnsi="微软雅黑" w:eastAsia="微软雅黑" w:cs="微软雅黑"/>
                <w:color w:val="0F243E"/>
                <w:sz w:val="21"/>
                <w:szCs w:val="21"/>
                <w:lang w:eastAsia="zh-CN"/>
              </w:rPr>
              <w:t>管理工作的整体推行等；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color w:val="0F243E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F243E"/>
                <w:sz w:val="21"/>
                <w:szCs w:val="21"/>
                <w:lang w:val="en-US" w:eastAsia="zh-CN"/>
              </w:rPr>
              <w:t>负责组织的活动安排和文化建设，以及制度福利建设等；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color w:val="0F243E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F243E"/>
                <w:sz w:val="21"/>
                <w:szCs w:val="21"/>
                <w:lang w:val="en-US" w:eastAsia="zh-CN"/>
              </w:rPr>
              <w:t>负责组织管理流程和制度的迭代优化和运行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color w:val="0F243E"/>
                <w:sz w:val="21"/>
                <w:szCs w:val="21"/>
                <w:lang w:val="en-US" w:eastAsia="zh-CN"/>
              </w:rPr>
              <w:t>；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color w:val="0F243E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F243E"/>
                <w:sz w:val="21"/>
                <w:szCs w:val="21"/>
                <w:lang w:val="en-US" w:eastAsia="zh-CN"/>
              </w:rPr>
              <w:t>负责约排课规则的梳理建设，以及每年规划和老师们预约课程、及时进行课程调整沟通；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color w:val="0F243E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F243E"/>
                <w:sz w:val="21"/>
                <w:szCs w:val="21"/>
                <w:lang w:val="en-US" w:eastAsia="zh-CN"/>
              </w:rPr>
              <w:t>负责外部渠道合作跟进管理，老师推荐对接和老师内训咨询费用对接跟进；</w:t>
            </w:r>
          </w:p>
          <w:p>
            <w:pPr>
              <w:pStyle w:val="7"/>
              <w:rPr>
                <w:rFonts w:hint="eastAsia" w:ascii="微软雅黑" w:hAnsi="微软雅黑" w:eastAsia="微软雅黑" w:cs="微软雅黑"/>
                <w:b/>
                <w:bCs/>
                <w:lang w:val="zh-TW" w:eastAsia="zh-TW"/>
              </w:rPr>
            </w:pPr>
          </w:p>
          <w:p>
            <w:pPr>
              <w:pStyle w:val="7"/>
            </w:pPr>
            <w:r>
              <w:rPr>
                <w:rFonts w:ascii="微软雅黑" w:hAnsi="微软雅黑" w:eastAsia="微软雅黑" w:cs="微软雅黑"/>
                <w:b/>
                <w:bCs/>
                <w:lang w:val="zh-TW" w:eastAsia="zh-TW"/>
              </w:rPr>
              <w:t>主要贡献：</w:t>
            </w:r>
          </w:p>
          <w:p>
            <w:pPr>
              <w:pStyle w:val="7"/>
              <w:numPr>
                <w:ilvl w:val="0"/>
                <w:numId w:val="3"/>
              </w:numPr>
              <w:ind w:leftChars="0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招聘方面：</w:t>
            </w:r>
          </w:p>
          <w:p>
            <w:pPr>
              <w:pStyle w:val="7"/>
              <w:numPr>
                <w:ilvl w:val="0"/>
                <w:numId w:val="4"/>
              </w:numPr>
              <w:ind w:left="420" w:leftChars="0" w:hanging="420" w:firstLine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迭代优化班主任招聘文案和工具，成功招募到一位班主任（薛明慧）；</w:t>
            </w:r>
          </w:p>
          <w:p>
            <w:pPr>
              <w:pStyle w:val="7"/>
              <w:numPr>
                <w:ilvl w:val="0"/>
                <w:numId w:val="4"/>
              </w:numPr>
              <w:ind w:left="420" w:leftChars="0" w:hanging="420" w:firstLine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另成功招募到了一位品牌负责人（林媛霞）；</w:t>
            </w:r>
          </w:p>
          <w:p>
            <w:pPr>
              <w:pStyle w:val="7"/>
              <w:numPr>
                <w:ilvl w:val="0"/>
                <w:numId w:val="3"/>
              </w:numPr>
              <w:ind w:left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组织制度建设和流程优化迭代方面：</w:t>
            </w:r>
          </w:p>
          <w:p>
            <w:pPr>
              <w:pStyle w:val="7"/>
              <w:numPr>
                <w:numId w:val="0"/>
              </w:numPr>
              <w:ind w:left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（1）梳理建立了内部学习制度、差旅制度、人事相关制度和会议管理制度等；</w:t>
            </w:r>
          </w:p>
          <w:p>
            <w:pPr>
              <w:pStyle w:val="7"/>
              <w:numPr>
                <w:numId w:val="0"/>
              </w:numPr>
              <w:ind w:left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（2）完成新人入职流程迭代优化，建立了晋级流程等；</w:t>
            </w:r>
          </w:p>
          <w:p>
            <w:pPr>
              <w:pStyle w:val="7"/>
              <w:numPr>
                <w:numId w:val="0"/>
              </w:numPr>
              <w:ind w:left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（3）建立了项目制运行管理制度1.0，并且持续管理运营，迭代了项目制2.0；</w:t>
            </w:r>
          </w:p>
          <w:p>
            <w:pPr>
              <w:pStyle w:val="7"/>
              <w:numPr>
                <w:numId w:val="0"/>
              </w:numPr>
              <w:ind w:left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（4）梳理搭建了一系列流程和管理规范文件，比如：录用函、在职离职证明、离职毕业证书等；</w:t>
            </w:r>
          </w:p>
          <w:p>
            <w:pPr>
              <w:pStyle w:val="7"/>
              <w:numPr>
                <w:ilvl w:val="0"/>
                <w:numId w:val="3"/>
              </w:numPr>
              <w:ind w:left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运营管理方面：</w:t>
            </w:r>
          </w:p>
          <w:p>
            <w:pPr>
              <w:pStyle w:val="7"/>
              <w:numPr>
                <w:ilvl w:val="0"/>
                <w:numId w:val="5"/>
              </w:numPr>
              <w:ind w:left="420" w:leftChars="0" w:hanging="420" w:firstLine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课后评价系统迭代优化、学友信息收集设计迭代完成上系统；</w:t>
            </w:r>
          </w:p>
          <w:p>
            <w:pPr>
              <w:pStyle w:val="7"/>
              <w:numPr>
                <w:ilvl w:val="0"/>
                <w:numId w:val="5"/>
              </w:numPr>
              <w:ind w:left="420" w:leftChars="0" w:hanging="420" w:firstLine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梳理完成了约排课规则机制1.0；</w:t>
            </w:r>
          </w:p>
          <w:p>
            <w:pPr>
              <w:pStyle w:val="7"/>
              <w:numPr>
                <w:ilvl w:val="0"/>
                <w:numId w:val="3"/>
              </w:numPr>
              <w:ind w:left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人才培养方面：</w:t>
            </w:r>
          </w:p>
          <w:p>
            <w:pPr>
              <w:pStyle w:val="7"/>
              <w:numPr>
                <w:ilvl w:val="0"/>
                <w:numId w:val="6"/>
              </w:numPr>
              <w:ind w:leftChars="0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梳理建立起了新人入职培训方案，并组织了第一次线上新人入职集体培训；</w:t>
            </w:r>
          </w:p>
          <w:p>
            <w:pPr>
              <w:pStyle w:val="7"/>
              <w:numPr>
                <w:ilvl w:val="0"/>
                <w:numId w:val="6"/>
              </w:numPr>
              <w:ind w:left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组织进行了内部德鲁克和项目管理的线上共学营，为服务外部学友沉淀了一套共学机制和工具；</w:t>
            </w:r>
          </w:p>
          <w:p>
            <w:pPr>
              <w:pStyle w:val="7"/>
              <w:numPr>
                <w:ilvl w:val="0"/>
                <w:numId w:val="6"/>
              </w:numPr>
              <w:ind w:left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组织进行了班主任的七仙女学习项目，首次在内部进行学习培训管理，沉淀了5门可复用学习的课程内容，完成了4本书籍工学分享，萃取沉淀了一部分班主任工作经验，并进行了关键流程梳理沉淀和培训，以及沉淀了萃取方法；</w:t>
            </w:r>
          </w:p>
          <w:p>
            <w:pPr>
              <w:pStyle w:val="7"/>
              <w:numPr>
                <w:ilvl w:val="0"/>
                <w:numId w:val="6"/>
              </w:numPr>
              <w:ind w:left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组织完成了内部拿手菜分享，沉淀了分享内容供学习，并增进了伙伴彼此长处的了解；</w:t>
            </w:r>
          </w:p>
          <w:p>
            <w:pPr>
              <w:pStyle w:val="7"/>
              <w:numPr>
                <w:ilvl w:val="0"/>
                <w:numId w:val="6"/>
              </w:numPr>
              <w:ind w:left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组织进行了内部21天特训项目，沉淀了需求探寻、提问分析等8门课题内容，并进行了实战应用萃取沉淀；</w:t>
            </w:r>
          </w:p>
          <w:p>
            <w:pPr>
              <w:pStyle w:val="7"/>
              <w:numPr>
                <w:ilvl w:val="0"/>
                <w:numId w:val="3"/>
              </w:numPr>
              <w:ind w:left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其他项目方面：</w:t>
            </w:r>
          </w:p>
          <w:p>
            <w:pPr>
              <w:pStyle w:val="7"/>
              <w:numPr>
                <w:ilvl w:val="0"/>
                <w:numId w:val="7"/>
              </w:num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担任项目经理成功推进完成第10届磨刀会；</w:t>
            </w:r>
          </w:p>
          <w:p>
            <w:pPr>
              <w:pStyle w:val="7"/>
              <w:numPr>
                <w:ilvl w:val="0"/>
                <w:numId w:val="7"/>
              </w:num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FR任职资格搭建项目完成了FR任职资格、胜任力、发展通道、薪酬设计等搭建，完成了内部任职资格体系初步探索；</w:t>
            </w:r>
          </w:p>
          <w:p>
            <w:pPr>
              <w:pStyle w:val="7"/>
              <w:numPr>
                <w:ilvl w:val="0"/>
                <w:numId w:val="3"/>
              </w:numPr>
              <w:ind w:left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其他：</w:t>
            </w:r>
          </w:p>
          <w:p>
            <w:pPr>
              <w:pStyle w:val="7"/>
              <w:numPr>
                <w:ilvl w:val="0"/>
                <w:numId w:val="8"/>
              </w:num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成功开创并举办了线上迎新会；</w:t>
            </w:r>
          </w:p>
          <w:p>
            <w:pPr>
              <w:pStyle w:val="7"/>
              <w:numPr>
                <w:ilvl w:val="0"/>
                <w:numId w:val="8"/>
              </w:num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21年筛选确定了体检方案和福利制度，并组织了22位伙伴集中进行了体检；</w:t>
            </w:r>
          </w:p>
          <w:p>
            <w:pPr>
              <w:pStyle w:val="7"/>
              <w:numPr>
                <w:numId w:val="0"/>
              </w:numPr>
              <w:rPr>
                <w:rFonts w:hint="default" w:ascii="微软雅黑" w:hAnsi="微软雅黑" w:eastAsia="微软雅黑" w:cs="微软雅黑"/>
                <w:lang w:val="en-US" w:eastAsia="zh-CN"/>
              </w:rPr>
            </w:pP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6" w:hRule="atLeast"/>
        </w:trPr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  <w:jc w:val="center"/>
            </w:pPr>
            <w:r>
              <w:rPr>
                <w:rFonts w:ascii="微软雅黑" w:hAnsi="微软雅黑" w:eastAsia="微软雅黑" w:cs="微软雅黑"/>
                <w:lang w:val="zh-TW" w:eastAsia="zh-TW"/>
              </w:rPr>
              <w:t>部门负责人审批</w:t>
            </w:r>
          </w:p>
        </w:tc>
        <w:tc>
          <w:tcPr>
            <w:tcW w:w="726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</w:pP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  <w:jc w:val="center"/>
            </w:pPr>
            <w:r>
              <w:rPr>
                <w:rFonts w:ascii="微软雅黑" w:hAnsi="微软雅黑" w:eastAsia="微软雅黑" w:cs="微软雅黑"/>
                <w:lang w:val="zh-TW" w:eastAsia="zh-TW"/>
              </w:rPr>
              <w:t>公司人才委员会复核</w:t>
            </w:r>
          </w:p>
        </w:tc>
        <w:tc>
          <w:tcPr>
            <w:tcW w:w="726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/>
          <w:p/>
          <w:p/>
          <w:p/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  <w:jc w:val="center"/>
            </w:pPr>
            <w:r>
              <w:rPr>
                <w:rFonts w:ascii="微软雅黑" w:hAnsi="微软雅黑" w:eastAsia="微软雅黑" w:cs="微软雅黑"/>
                <w:lang w:val="zh-TW" w:eastAsia="zh-TW"/>
              </w:rPr>
              <w:t>评定结果</w:t>
            </w:r>
          </w:p>
        </w:tc>
        <w:tc>
          <w:tcPr>
            <w:tcW w:w="726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/>
          <w:p/>
        </w:tc>
      </w:tr>
    </w:tbl>
    <w:p>
      <w:pPr>
        <w:pStyle w:val="7"/>
      </w:pPr>
    </w:p>
    <w:sectPr>
      <w:headerReference r:id="rId3" w:type="default"/>
      <w:pgSz w:w="11900" w:h="16840"/>
      <w:pgMar w:top="1440" w:right="1800" w:bottom="1440" w:left="1800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hint="eastAsia" w:eastAsia="Arial Unicode MS"/>
        <w:lang w:eastAsia="zh-CN"/>
      </w:rPr>
    </w:pPr>
    <w:r>
      <w:rPr>
        <w:rFonts w:hint="eastAsia" w:eastAsia="Arial Unicode MS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2138680</wp:posOffset>
          </wp:positionH>
          <wp:positionV relativeFrom="paragraph">
            <wp:posOffset>-160020</wp:posOffset>
          </wp:positionV>
          <wp:extent cx="1091565" cy="668655"/>
          <wp:effectExtent l="0" t="0" r="0" b="0"/>
          <wp:wrapNone/>
          <wp:docPr id="1" name="图片 1" descr="蓝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蓝色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1565" cy="668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00583"/>
    <w:multiLevelType w:val="singleLevel"/>
    <w:tmpl w:val="AFF0058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3B43FEB"/>
    <w:multiLevelType w:val="singleLevel"/>
    <w:tmpl w:val="B3B43FEB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4205526"/>
    <w:multiLevelType w:val="singleLevel"/>
    <w:tmpl w:val="D420552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AE74837"/>
    <w:multiLevelType w:val="singleLevel"/>
    <w:tmpl w:val="EAE74837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204D8AB6"/>
    <w:multiLevelType w:val="singleLevel"/>
    <w:tmpl w:val="204D8A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80365FD"/>
    <w:multiLevelType w:val="singleLevel"/>
    <w:tmpl w:val="480365F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76A41275"/>
    <w:multiLevelType w:val="singleLevel"/>
    <w:tmpl w:val="76A412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7E834147"/>
    <w:multiLevelType w:val="singleLevel"/>
    <w:tmpl w:val="7E83414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7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16C"/>
    <w:rsid w:val="0018216C"/>
    <w:rsid w:val="002C2D96"/>
    <w:rsid w:val="00CD30D5"/>
    <w:rsid w:val="19951C68"/>
    <w:rsid w:val="211E20D2"/>
    <w:rsid w:val="2AE32B72"/>
    <w:rsid w:val="30FE5F06"/>
    <w:rsid w:val="33FF7A9D"/>
    <w:rsid w:val="42B72796"/>
    <w:rsid w:val="4AFF1718"/>
    <w:rsid w:val="4C090075"/>
    <w:rsid w:val="5AC713E8"/>
    <w:rsid w:val="5FBB7057"/>
    <w:rsid w:val="62460D0B"/>
    <w:rsid w:val="669B43F7"/>
    <w:rsid w:val="6B7D526B"/>
    <w:rsid w:val="7967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页眉与页脚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</w:pPr>
    <w:rPr>
      <w:rFonts w:ascii="Helvetica" w:hAnsi="Helvetica" w:eastAsia="Arial Unicode MS" w:cs="Arial Unicode MS"/>
      <w:color w:val="000000"/>
      <w:sz w:val="24"/>
      <w:szCs w:val="24"/>
      <w:lang w:val="en-US" w:eastAsia="zh-CN" w:bidi="ar-SA"/>
    </w:rPr>
  </w:style>
  <w:style w:type="paragraph" w:customStyle="1" w:styleId="7">
    <w:name w:val="正文 A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ascii="Calibri" w:hAnsi="Calibri" w:eastAsia="Calibri" w:cs="Calibri"/>
      <w:color w:val="000000"/>
      <w:kern w:val="2"/>
      <w:sz w:val="21"/>
      <w:szCs w:val="21"/>
      <w:u w:color="00000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112</Words>
  <Characters>644</Characters>
  <Lines>5</Lines>
  <Paragraphs>1</Paragraphs>
  <TotalTime>517</TotalTime>
  <ScaleCrop>false</ScaleCrop>
  <LinksUpToDate>false</LinksUpToDate>
  <CharactersWithSpaces>755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2020-09-05T08:06:00Z</dcterms:created>
  <dc:creator>Sunnycancan</dc:creator>
  <cp:lastModifiedBy>王灿平Sunny</cp:lastModifiedBy>
  <dcterms:modified xsi:type="dcterms:W3CDTF">2021-10-19T12:23:30Z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6A2E444F47524D3BA235B48821C0C604</vt:lpwstr>
  </property>
</Properties>
</file>