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734881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损益表的理解</w:t>
      </w:r>
    </w:p>
    <w:p w14:paraId="567BDB59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一、整体结构</w:t>
      </w:r>
    </w:p>
    <w:p w14:paraId="20F09AB7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1.投资回报的获取（类似贡献利润）=收入-成本-业务费用-研发费用-管理费用-财务费用（与七弦琴的区别：把所有的人力成本全部剔除出来了）</w:t>
      </w:r>
    </w:p>
    <w:p w14:paraId="1A5218ED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2.投资回报的分配=人力成本+净利润（跷跷板关系，逻辑是：先留够净利润，其余的是可以分掉的人力成本）</w:t>
      </w:r>
    </w:p>
    <w:p w14:paraId="4C757A3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3.基线：24年的各项费用占收入的比例，根据这个比例推算出来25年收入下的各项费用，就是C列。</w:t>
      </w:r>
    </w:p>
    <w:p w14:paraId="515E52D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4.有了C列，就相当于有了25年全公司的七</w:t>
      </w:r>
      <w:r>
        <w:rPr>
          <w:rFonts w:hint="eastAsia"/>
          <w:sz w:val="28"/>
          <w:szCs w:val="28"/>
          <w:lang w:val="en-US" w:eastAsia="zh-CN"/>
        </w:rPr>
        <w:t>弦琴，再将全部收入及费用用一定的逻辑划分给各部门（前台：区域+餐饮；中台：产品；后台：企服支持组+开课支持组+效能后台）</w:t>
      </w:r>
    </w:p>
    <w:p w14:paraId="253FE9EC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二、中心划分及拆分及拿的什么钱</w:t>
      </w:r>
    </w:p>
    <w:p w14:paraId="19BFFCDC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1.利润中心：创造利润的部门，对本部门的整体七弦琴负责。就是三大区域+餐饮学院。</w:t>
      </w:r>
    </w:p>
    <w:p w14:paraId="1F565343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拿钱：目标贡献利润</w:t>
      </w:r>
      <w:r>
        <w:rPr>
          <w:rFonts w:hint="eastAsia" w:ascii="Arial" w:hAnsi="Arial" w:eastAsia="等线" w:cs="Arial"/>
          <w:sz w:val="22"/>
          <w:lang w:eastAsia="zh-CN"/>
        </w:rPr>
        <w:t>✖15%</w:t>
      </w:r>
      <w:r>
        <w:rPr>
          <w:rFonts w:hint="eastAsia" w:ascii="Arial" w:hAnsi="Arial" w:eastAsia="等线" w:cs="Arial"/>
          <w:sz w:val="22"/>
          <w:lang w:val="en-US" w:eastAsia="zh-CN"/>
        </w:rPr>
        <w:t>✖组织绩效系数</w:t>
      </w:r>
      <w:r>
        <w:rPr>
          <w:rFonts w:hint="eastAsia" w:ascii="Arial" w:hAnsi="Arial" w:eastAsia="等线" w:cs="Arial"/>
          <w:sz w:val="22"/>
          <w:lang w:eastAsia="zh-CN"/>
        </w:rPr>
        <w:t>+超额</w:t>
      </w:r>
      <w:r>
        <w:rPr>
          <w:rFonts w:hint="eastAsia" w:ascii="Arial" w:hAnsi="Arial" w:eastAsia="等线" w:cs="Arial"/>
          <w:sz w:val="22"/>
          <w:lang w:val="en-US" w:eastAsia="zh-CN"/>
        </w:rPr>
        <w:t>贡献</w:t>
      </w:r>
      <w:r>
        <w:rPr>
          <w:rFonts w:hint="eastAsia" w:ascii="Arial" w:hAnsi="Arial" w:eastAsia="等线" w:cs="Arial"/>
          <w:sz w:val="22"/>
          <w:lang w:eastAsia="zh-CN"/>
        </w:rPr>
        <w:t>利润✖</w:t>
      </w:r>
      <w:r>
        <w:rPr>
          <w:rFonts w:hint="eastAsia" w:ascii="Arial" w:hAnsi="Arial" w:eastAsia="等线" w:cs="Arial"/>
          <w:sz w:val="22"/>
          <w:lang w:val="en-US" w:eastAsia="zh-CN"/>
        </w:rPr>
        <w:t>3</w:t>
      </w:r>
      <w:r>
        <w:rPr>
          <w:rFonts w:hint="eastAsia" w:ascii="Arial" w:hAnsi="Arial" w:eastAsia="等线" w:cs="Arial"/>
          <w:sz w:val="22"/>
          <w:lang w:eastAsia="zh-CN"/>
        </w:rPr>
        <w:t>0%</w:t>
      </w:r>
    </w:p>
    <w:p w14:paraId="7C84F2B4">
      <w:pPr>
        <w:numPr>
          <w:ilvl w:val="0"/>
          <w:numId w:val="1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收入中心（是利润中心的一种）：只对七弦琴的部分负责。就是产品组，对收入及成本负责。</w:t>
      </w:r>
    </w:p>
    <w:p w14:paraId="54E60C67">
      <w:pPr>
        <w:numPr>
          <w:numId w:val="0"/>
        </w:numPr>
        <w:spacing w:before="120" w:after="120" w:line="288" w:lineRule="auto"/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拿钱：目标收入</w:t>
      </w:r>
      <w:r>
        <w:rPr>
          <w:rFonts w:hint="eastAsia" w:ascii="Arial" w:hAnsi="Arial" w:eastAsia="等线" w:cs="Arial"/>
          <w:sz w:val="22"/>
          <w:lang w:eastAsia="zh-CN"/>
        </w:rPr>
        <w:t>✖1%</w:t>
      </w:r>
      <w:r>
        <w:rPr>
          <w:rFonts w:hint="eastAsia" w:ascii="Arial" w:hAnsi="Arial" w:eastAsia="等线" w:cs="Arial"/>
          <w:sz w:val="22"/>
          <w:lang w:val="en-US" w:eastAsia="zh-CN"/>
        </w:rPr>
        <w:t>✖组织绩效系数</w:t>
      </w:r>
      <w:r>
        <w:rPr>
          <w:rFonts w:hint="eastAsia" w:ascii="Arial" w:hAnsi="Arial" w:eastAsia="等线" w:cs="Arial"/>
          <w:sz w:val="22"/>
          <w:lang w:eastAsia="zh-CN"/>
        </w:rPr>
        <w:t>+超额</w:t>
      </w:r>
      <w:r>
        <w:rPr>
          <w:rFonts w:hint="eastAsia" w:ascii="Arial" w:hAnsi="Arial" w:eastAsia="等线" w:cs="Arial"/>
          <w:sz w:val="22"/>
          <w:lang w:val="en-US" w:eastAsia="zh-CN"/>
        </w:rPr>
        <w:t>收入</w:t>
      </w:r>
      <w:r>
        <w:rPr>
          <w:rFonts w:hint="eastAsia" w:ascii="Arial" w:hAnsi="Arial" w:eastAsia="等线" w:cs="Arial"/>
          <w:sz w:val="22"/>
          <w:lang w:eastAsia="zh-CN"/>
        </w:rPr>
        <w:t>✖</w:t>
      </w:r>
      <w:r>
        <w:rPr>
          <w:rFonts w:hint="eastAsia" w:ascii="Arial" w:hAnsi="Arial" w:eastAsia="等线" w:cs="Arial"/>
          <w:sz w:val="22"/>
          <w:lang w:val="en-US" w:eastAsia="zh-CN"/>
        </w:rPr>
        <w:t>2</w:t>
      </w:r>
      <w:r>
        <w:rPr>
          <w:rFonts w:hint="eastAsia" w:ascii="Arial" w:hAnsi="Arial" w:eastAsia="等线" w:cs="Arial"/>
          <w:sz w:val="22"/>
          <w:lang w:eastAsia="zh-CN"/>
        </w:rPr>
        <w:t>%</w:t>
      </w:r>
    </w:p>
    <w:p w14:paraId="5B9C9290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3.成费中心：支持前台打仗的部门。</w:t>
      </w:r>
    </w:p>
    <w:p w14:paraId="10718B92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3.1成本中心会有业务费用及管理费用作为资源，以客户需求为抓手，出策略方案（比如：卖产品组合包以提升收入），想办法提升收入或者降低成本，支持利润中心的创造。</w:t>
      </w:r>
    </w:p>
    <w:p w14:paraId="3C8DBD2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3.2费用中心：纯后台部门，对管理费用及财务费用及公司的总利润负责，管住费用，守住利润。就是效能后台。</w:t>
      </w:r>
    </w:p>
    <w:p w14:paraId="760D1827">
      <w:pPr>
        <w:numPr>
          <w:numId w:val="0"/>
        </w:numPr>
        <w:spacing w:before="120" w:after="120" w:line="288" w:lineRule="auto"/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拿钱：</w:t>
      </w:r>
      <w:r>
        <w:rPr>
          <w:rFonts w:hint="eastAsia" w:ascii="Arial" w:hAnsi="Arial" w:eastAsia="等线" w:cs="Arial"/>
          <w:sz w:val="22"/>
          <w:lang w:val="en-US" w:eastAsia="zh-CN"/>
        </w:rPr>
        <w:t>基础薪酬包➕ 奖金包（利润/收入/费用空耗✖系数✖组织绩效系数）</w:t>
      </w:r>
      <w:r>
        <w:rPr>
          <w:rFonts w:hint="eastAsia" w:ascii="Arial" w:hAnsi="Arial" w:eastAsia="等线" w:cs="Arial"/>
          <w:sz w:val="22"/>
          <w:lang w:eastAsia="zh-CN"/>
        </w:rPr>
        <w:t>+超额利润</w:t>
      </w:r>
    </w:p>
    <w:p w14:paraId="54DF246B">
      <w:pPr>
        <w:numPr>
          <w:ilvl w:val="0"/>
          <w:numId w:val="2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按照公司25年的七弦琴，把收入及成本费用等，大致划分给各中心（根据公司25年收入目标、基线（在24年基础上有改进）、24年数据对比等）。</w:t>
      </w:r>
    </w:p>
    <w:p w14:paraId="0DB882BD">
      <w:pPr>
        <w:numPr>
          <w:ilvl w:val="0"/>
          <w:numId w:val="3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人力成本总包算法及构成</w:t>
      </w:r>
    </w:p>
    <w:p w14:paraId="4FF14CB0">
      <w:pPr>
        <w:numPr>
          <w:ilvl w:val="0"/>
          <w:numId w:val="4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整个公司的人力成本包（约15%，看D25）：投资回报-净利润。</w:t>
      </w:r>
    </w:p>
    <w:p w14:paraId="281E0DC8">
      <w:pPr>
        <w:numPr>
          <w:ilvl w:val="0"/>
          <w:numId w:val="4"/>
        </w:num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整个公司的人力成本包构成=（战略包+五险一金+荣誉+招培+商业保险）+各中心人力成本包之和。</w:t>
      </w:r>
    </w:p>
    <w:p w14:paraId="1DEE3679">
      <w:pPr>
        <w:numPr>
          <w:ilvl w:val="0"/>
          <w:numId w:val="4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利润中心的人力成本包：根据人均创收的增幅及上年人力成本包总额，给出一个大致的占比（占本利润中心收入的比），保持增长的状态（因为业务是增长的，低于人均创收的增幅）。</w:t>
      </w:r>
    </w:p>
    <w:p w14:paraId="742CBF38">
      <w:pPr>
        <w:numPr>
          <w:ilvl w:val="0"/>
          <w:numId w:val="4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收入中心的人力成本包：收入的占比（收入*1%），根据上年的工资包，保持增长的状态。</w:t>
      </w:r>
    </w:p>
    <w:p w14:paraId="67DF1D0E">
      <w:pPr>
        <w:numPr>
          <w:ilvl w:val="0"/>
          <w:numId w:val="4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成费中心的人力成本包：固定工资包；根据上年的工资包总额，保持略增长。</w:t>
      </w:r>
    </w:p>
    <w:p w14:paraId="30B5000F">
      <w:pPr>
        <w:numPr>
          <w:ilvl w:val="0"/>
          <w:numId w:val="4"/>
        </w:num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各中心人力成本包之和（约11.5%，看D16）：小于整个公司的人力成本包。</w:t>
      </w:r>
    </w:p>
    <w:p w14:paraId="368DBBC7">
      <w:pPr>
        <w:numPr>
          <w:ilvl w:val="0"/>
          <w:numId w:val="4"/>
        </w:numPr>
        <w:ind w:left="0" w:leftChars="0" w:firstLine="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战略包：将公司拟引进的，近1年还不能出经营绩效的人才的薪酬放进这个包；还有，公司的战略项目的钱。</w:t>
      </w:r>
    </w:p>
    <w:p w14:paraId="05CDE7FD">
      <w:pPr>
        <w:numPr>
          <w:ilvl w:val="0"/>
          <w:numId w:val="3"/>
        </w:numPr>
        <w:ind w:left="0" w:leftChars="0" w:firstLine="0" w:firstLine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其他注意事项</w:t>
      </w:r>
    </w:p>
    <w:p w14:paraId="389DDBD4">
      <w:pPr>
        <w:numPr>
          <w:ilvl w:val="0"/>
          <w:numId w:val="5"/>
        </w:numPr>
        <w:ind w:leftChars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各中心人力成本包，这里算的是获取；至于分配，要用另外的逻辑，比如绩效系数、奖金递延等。</w:t>
      </w:r>
    </w:p>
    <w:p w14:paraId="2C9D4DD0">
      <w:pPr>
        <w:numPr>
          <w:ilvl w:val="0"/>
          <w:numId w:val="5"/>
        </w:numPr>
        <w:ind w:left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创收增幅与人力成本包增幅的关系：大于的关系，只要大于，在这个算法下，就能保证不会超过公司的承受能力，能保证公司的净利润；至于，到底是个什么样的比例，目前还没有特别的说法，等着我们后续的实践吧。</w:t>
      </w:r>
    </w:p>
    <w:p w14:paraId="1E14DA1A">
      <w:pPr>
        <w:numPr>
          <w:ilvl w:val="0"/>
          <w:numId w:val="5"/>
        </w:numPr>
        <w:ind w:left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本表中的各种比例和总额等，只是大致的试算，需要最后确认和调整。此表展现的是逻辑。</w:t>
      </w:r>
    </w:p>
    <w:p w14:paraId="760A3376">
      <w:pPr>
        <w:numPr>
          <w:ilvl w:val="0"/>
          <w:numId w:val="5"/>
        </w:numPr>
        <w:ind w:left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空耗：公司的总投资回报-利润中心人力成本包；也就是中后台人员的工资包及费用包之和。</w:t>
      </w:r>
    </w:p>
    <w:p w14:paraId="3B42E34E">
      <w:pPr>
        <w:numPr>
          <w:ilvl w:val="0"/>
          <w:numId w:val="5"/>
        </w:numPr>
        <w:ind w:left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各中心及个人如何分配，这个部分我也不清楚，还需要老师继续讲解。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7C483D"/>
    <w:multiLevelType w:val="singleLevel"/>
    <w:tmpl w:val="9F7C483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B64D0D2B"/>
    <w:multiLevelType w:val="singleLevel"/>
    <w:tmpl w:val="B64D0D2B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F7979D3D"/>
    <w:multiLevelType w:val="singleLevel"/>
    <w:tmpl w:val="F7979D3D"/>
    <w:lvl w:ilvl="0" w:tentative="0">
      <w:start w:val="4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08850CC3"/>
    <w:multiLevelType w:val="singleLevel"/>
    <w:tmpl w:val="08850CC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77FDCB7B"/>
    <w:multiLevelType w:val="singleLevel"/>
    <w:tmpl w:val="77FDCB7B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60B4065"/>
    <w:rsid w:val="407F5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80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2025-04-01T22:43:08Z</dcterms:created>
  <dc:creator>CHENYANQIN</dc:creator>
  <cp:lastModifiedBy>陈延琴</cp:lastModifiedBy>
  <dcterms:modified xsi:type="dcterms:W3CDTF">2025-04-02T00:43:02Z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eyJoZGlkIjoiYzJhMmIyYWVhOWIzYzZlM2NiZDY3MGM4ZjcwMTkzM2EiLCJ1c2VySWQiOiIxMTQwMDIxOTk4In0=</vt:lpwstr>
  </property>
  <property fmtid="{D5CDD505-2E9C-101B-9397-08002B2CF9AE}" pid="4" name="ICV">
    <vt:lpwstr>6F53E024888E440B8498B8DC716921A3_12</vt:lpwstr>
  </property>
</Properties>
</file>