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FA22F">
      <w:pPr>
        <w:jc w:val="center"/>
        <w:rPr>
          <w:rFonts w:hint="eastAsia"/>
          <w:b/>
          <w:bCs/>
          <w:sz w:val="48"/>
          <w:szCs w:val="48"/>
        </w:rPr>
      </w:pPr>
      <w:r>
        <w:rPr>
          <w:rFonts w:hint="eastAsia"/>
          <w:b/>
          <w:bCs/>
          <w:sz w:val="48"/>
          <w:szCs w:val="48"/>
        </w:rPr>
        <w:t>股权收益承诺函</w:t>
      </w:r>
    </w:p>
    <w:p w14:paraId="770C812F">
      <w:pPr>
        <w:rPr>
          <w:rFonts w:hint="eastAsia"/>
        </w:rPr>
      </w:pPr>
    </w:p>
    <w:p w14:paraId="28CFAAB0">
      <w:pPr>
        <w:rPr>
          <w:rFonts w:hint="eastAsia"/>
        </w:rPr>
      </w:pPr>
      <w:r>
        <w:rPr>
          <w:rFonts w:hint="eastAsia"/>
        </w:rPr>
        <w:t>致：慧余 女士</w:t>
      </w:r>
    </w:p>
    <w:p w14:paraId="19E5F98D">
      <w:pPr>
        <w:rPr>
          <w:rFonts w:hint="eastAsia"/>
        </w:rPr>
      </w:pPr>
    </w:p>
    <w:p w14:paraId="759A161F">
      <w:pPr>
        <w:rPr>
          <w:rFonts w:hint="eastAsia"/>
        </w:rPr>
      </w:pPr>
      <w:r>
        <w:rPr>
          <w:rFonts w:hint="eastAsia"/>
        </w:rPr>
        <w:t>鉴于您作为【</w:t>
      </w:r>
      <w:r>
        <w:rPr>
          <w:rFonts w:hint="eastAsia"/>
          <w:lang w:val="en-US" w:eastAsia="zh-CN"/>
        </w:rPr>
        <w:t>高维信息技术（深圳）有限公司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和【高维投资（深圳）有限公司】的</w:t>
      </w:r>
      <w:r>
        <w:rPr>
          <w:rFonts w:hint="eastAsia"/>
        </w:rPr>
        <w:t>股东（</w:t>
      </w:r>
      <w:r>
        <w:rPr>
          <w:rFonts w:hint="eastAsia"/>
          <w:lang w:val="en-US" w:eastAsia="zh-CN"/>
        </w:rPr>
        <w:t>通过有限合伙企业间接持股，</w:t>
      </w:r>
      <w:r>
        <w:rPr>
          <w:rFonts w:hint="eastAsia"/>
        </w:rPr>
        <w:t>持股比例：</w:t>
      </w:r>
      <w:r>
        <w:rPr>
          <w:rFonts w:hint="eastAsia"/>
          <w:u w:val="single"/>
          <w:lang w:val="en-US" w:eastAsia="zh-CN"/>
        </w:rPr>
        <w:t>5</w:t>
      </w:r>
      <w:r>
        <w:rPr>
          <w:rFonts w:hint="eastAsia"/>
        </w:rPr>
        <w:t>%），为确保您的股东权益，现就双重分红机制承诺如下：</w:t>
      </w:r>
    </w:p>
    <w:p w14:paraId="4AAAF85D">
      <w:pPr>
        <w:rPr>
          <w:rFonts w:hint="eastAsia"/>
        </w:rPr>
      </w:pPr>
    </w:p>
    <w:p w14:paraId="5090F913">
      <w:pPr>
        <w:rPr>
          <w:rFonts w:hint="eastAsia"/>
        </w:rPr>
      </w:pPr>
      <w:r>
        <w:rPr>
          <w:rFonts w:hint="eastAsia"/>
          <w:b/>
          <w:bCs/>
        </w:rPr>
        <w:t>一、分红机制</w:t>
      </w:r>
    </w:p>
    <w:p w14:paraId="5CBDEDE6">
      <w:pPr>
        <w:rPr>
          <w:rFonts w:hint="eastAsia"/>
        </w:rPr>
      </w:pPr>
      <w:r>
        <w:rPr>
          <w:rFonts w:hint="eastAsia"/>
          <w:lang w:val="en-US" w:eastAsia="zh-CN"/>
        </w:rPr>
        <w:t>1、</w:t>
      </w:r>
      <w:r>
        <w:rPr>
          <w:rFonts w:hint="eastAsia"/>
        </w:rPr>
        <w:t>持续分红条款</w:t>
      </w:r>
    </w:p>
    <w:p w14:paraId="19BC9CA3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触发条件：公司当年未发生重大资本性投入</w:t>
      </w:r>
      <w:r>
        <w:rPr>
          <w:rFonts w:hint="eastAsia"/>
          <w:lang w:val="en-US" w:eastAsia="zh-CN"/>
        </w:rPr>
        <w:t>或预留</w:t>
      </w:r>
      <w:r>
        <w:rPr>
          <w:rFonts w:hint="eastAsia"/>
        </w:rPr>
        <w:t>（</w:t>
      </w:r>
      <w:r>
        <w:rPr>
          <w:rFonts w:hint="eastAsia"/>
          <w:lang w:val="en-US" w:eastAsia="zh-CN"/>
        </w:rPr>
        <w:t>总和</w:t>
      </w:r>
      <w:r>
        <w:rPr>
          <w:rFonts w:hint="eastAsia"/>
        </w:rPr>
        <w:t>超过净利润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0%）且未出现经营性亏损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如发生以上情况，可通过股东协商调整分红比例</w:t>
      </w:r>
    </w:p>
    <w:p w14:paraId="1B1C974D">
      <w:pPr>
        <w:rPr>
          <w:rFonts w:hint="eastAsia"/>
        </w:rPr>
      </w:pPr>
      <w:r>
        <w:rPr>
          <w:rFonts w:hint="eastAsia"/>
        </w:rPr>
        <w:t>分红比例：按年度可分配净利润的40%为基数，您可获得其中5%的分配权</w:t>
      </w:r>
    </w:p>
    <w:p w14:paraId="50125CD6">
      <w:pPr>
        <w:rPr>
          <w:rFonts w:hint="eastAsia"/>
        </w:rPr>
      </w:pPr>
      <w:r>
        <w:rPr>
          <w:rFonts w:hint="eastAsia"/>
        </w:rPr>
        <w:t>计算公式：年度分红金额 =（可分配净利润 × 40%）× 5%</w:t>
      </w:r>
    </w:p>
    <w:p w14:paraId="62B18BFB">
      <w:pPr>
        <w:rPr>
          <w:rFonts w:hint="eastAsia"/>
        </w:rPr>
      </w:pPr>
    </w:p>
    <w:p w14:paraId="7A2D7095">
      <w:pPr>
        <w:rPr>
          <w:rFonts w:hint="eastAsia"/>
        </w:rPr>
      </w:pPr>
      <w:r>
        <w:rPr>
          <w:rFonts w:hint="eastAsia"/>
          <w:lang w:val="en-US" w:eastAsia="zh-CN"/>
        </w:rPr>
        <w:t>2、</w:t>
      </w:r>
      <w:r>
        <w:rPr>
          <w:rFonts w:hint="eastAsia"/>
        </w:rPr>
        <w:t>特别分红条款（2024-2026）</w:t>
      </w:r>
    </w:p>
    <w:p w14:paraId="61E6747C">
      <w:pPr>
        <w:rPr>
          <w:rFonts w:hint="eastAsia"/>
        </w:rPr>
      </w:pPr>
      <w:r>
        <w:rPr>
          <w:rFonts w:hint="eastAsia"/>
        </w:rPr>
        <w:t>执行期间：2024年1月1日至2026年12月31日</w:t>
      </w:r>
    </w:p>
    <w:p w14:paraId="11248E62">
      <w:pPr>
        <w:rPr>
          <w:rFonts w:hint="eastAsia"/>
        </w:rPr>
      </w:pPr>
      <w:r>
        <w:rPr>
          <w:rFonts w:hint="eastAsia"/>
        </w:rPr>
        <w:t>分红比例：按年度可分配净利润的</w:t>
      </w:r>
      <w:r>
        <w:rPr>
          <w:rFonts w:hint="eastAsia"/>
          <w:lang w:val="en-US" w:eastAsia="zh-CN"/>
        </w:rPr>
        <w:t>12.0430</w:t>
      </w:r>
      <w:r>
        <w:rPr>
          <w:rFonts w:hint="eastAsia"/>
        </w:rPr>
        <w:t>%分配</w:t>
      </w:r>
    </w:p>
    <w:p w14:paraId="7CDDDEA4">
      <w:pPr>
        <w:rPr>
          <w:rFonts w:hint="eastAsia"/>
        </w:rPr>
      </w:pPr>
      <w:r>
        <w:rPr>
          <w:rFonts w:hint="eastAsia"/>
        </w:rPr>
        <w:t>计算公式：年度分红金额 = 可分配净利润 × 12%</w:t>
      </w:r>
    </w:p>
    <w:p w14:paraId="57C5D03D">
      <w:pPr>
        <w:rPr>
          <w:rFonts w:hint="eastAsia"/>
        </w:rPr>
      </w:pPr>
      <w:r>
        <w:rPr>
          <w:rFonts w:hint="eastAsia"/>
        </w:rPr>
        <w:t>优先支付：特别分红优先于持续分红执行</w:t>
      </w:r>
    </w:p>
    <w:p w14:paraId="5FE34147">
      <w:pPr>
        <w:rPr>
          <w:rFonts w:hint="eastAsia"/>
        </w:rPr>
      </w:pPr>
    </w:p>
    <w:p w14:paraId="41BC4CF0">
      <w:pPr>
        <w:rPr>
          <w:rFonts w:hint="eastAsia"/>
        </w:rPr>
      </w:pPr>
    </w:p>
    <w:p w14:paraId="26AA7E0F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二、执行细则</w:t>
      </w:r>
    </w:p>
    <w:p w14:paraId="77D72F99">
      <w:pPr>
        <w:rPr>
          <w:rFonts w:hint="eastAsia"/>
        </w:rPr>
      </w:pPr>
      <w:r>
        <w:rPr>
          <w:rFonts w:hint="eastAsia"/>
        </w:rPr>
        <w:t>可分配净利润定义：扣除法定公积金、弥补亏损后的净利润</w:t>
      </w:r>
    </w:p>
    <w:p w14:paraId="2CFFFD58">
      <w:pPr>
        <w:rPr>
          <w:rFonts w:hint="default" w:eastAsiaTheme="minorEastAsia"/>
          <w:lang w:val="en-US" w:eastAsia="zh-CN"/>
        </w:rPr>
      </w:pPr>
      <w:r>
        <w:rPr>
          <w:rFonts w:hint="eastAsia"/>
        </w:rPr>
        <w:t>重大投入界定：单笔超过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00万元或年度累计超过净利润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0%的资本支出</w:t>
      </w:r>
      <w:r>
        <w:rPr>
          <w:rFonts w:hint="eastAsia"/>
          <w:lang w:val="en-US" w:eastAsia="zh-CN"/>
        </w:rPr>
        <w:t>或战略储备</w:t>
      </w:r>
    </w:p>
    <w:p w14:paraId="70F0346D">
      <w:pPr>
        <w:rPr>
          <w:rFonts w:hint="eastAsia"/>
        </w:rPr>
      </w:pPr>
      <w:r>
        <w:rPr>
          <w:rFonts w:hint="eastAsia"/>
        </w:rPr>
        <w:t>支付时限：会计年度审计报告出具后60日内支付</w:t>
      </w:r>
    </w:p>
    <w:p w14:paraId="6922601F">
      <w:pPr>
        <w:rPr>
          <w:rFonts w:hint="eastAsia"/>
        </w:rPr>
      </w:pPr>
    </w:p>
    <w:p w14:paraId="4F06750E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三、承诺限制</w:t>
      </w:r>
    </w:p>
    <w:p w14:paraId="229EA849">
      <w:pPr>
        <w:rPr>
          <w:rFonts w:hint="eastAsia"/>
        </w:rPr>
      </w:pPr>
      <w:r>
        <w:rPr>
          <w:rFonts w:hint="eastAsia"/>
        </w:rPr>
        <w:t>若同时触发两类分红，按"特别分红优先，差额补足"原则执行</w:t>
      </w:r>
    </w:p>
    <w:p w14:paraId="4832CD9D">
      <w:pPr>
        <w:rPr>
          <w:rFonts w:hint="eastAsia"/>
        </w:rPr>
      </w:pPr>
      <w:r>
        <w:rPr>
          <w:rFonts w:hint="eastAsia"/>
        </w:rPr>
        <w:t>不可抗力条款：公司遭遇重大经营风险（亏损超过净资产30%）时可暂停执行</w:t>
      </w:r>
    </w:p>
    <w:p w14:paraId="436D5AD8">
      <w:pPr>
        <w:rPr>
          <w:rFonts w:hint="eastAsia"/>
        </w:rPr>
      </w:pPr>
    </w:p>
    <w:p w14:paraId="3E730B59">
      <w:pPr>
        <w:rPr>
          <w:rFonts w:hint="eastAsia"/>
        </w:rPr>
      </w:pPr>
      <w:bookmarkStart w:id="0" w:name="_GoBack"/>
      <w:bookmarkEnd w:id="0"/>
    </w:p>
    <w:p w14:paraId="6C0E9892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四、签署方式</w:t>
      </w:r>
    </w:p>
    <w:p w14:paraId="433AE6C6">
      <w:pPr>
        <w:rPr>
          <w:rFonts w:hint="eastAsia"/>
        </w:rPr>
      </w:pPr>
    </w:p>
    <w:p w14:paraId="325B7EDF">
      <w:pPr>
        <w:rPr>
          <w:rFonts w:hint="eastAsia"/>
        </w:rPr>
      </w:pPr>
    </w:p>
    <w:p w14:paraId="1D6F75DF">
      <w:r>
        <w:rPr>
          <w:rFonts w:hint="eastAsia"/>
          <w:lang w:val="en-US" w:eastAsia="zh-CN"/>
        </w:rPr>
        <w:t>高维信息技术（深圳）有限公司</w:t>
      </w:r>
      <w:r>
        <w:rPr>
          <w:rFonts w:hint="eastAsia"/>
        </w:rPr>
        <w:t>法定代表人</w:t>
      </w:r>
      <w:r>
        <w:rPr>
          <w:rFonts w:hint="eastAsia"/>
          <w:lang w:val="en-US" w:eastAsia="zh-CN"/>
        </w:rPr>
        <w:t>签章：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4F55CD"/>
    <w:rsid w:val="544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2025-04-11T01:46:00Z</dcterms:created>
  <dc:creator>com</dc:creator>
  <cp:lastModifiedBy>com</cp:lastModifiedBy>
  <dcterms:modified xsi:type="dcterms:W3CDTF">2025-04-11T02:18:09Z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7C2B179E520F4031B92BD85624E5DD10_11</vt:lpwstr>
  </property>
  <property fmtid="{D5CDD505-2E9C-101B-9397-08002B2CF9AE}" pid="4" name="KSOTemplateDocerSaveRecord">
    <vt:lpwstr>eyJoZGlkIjoiMDdkYmRjZjE2NjMyNzYzN2IzNWVlMWFlYWQwNjM1NDMiLCJ1c2VySWQiOiIzODUyMjc1NzcifQ==</vt:lpwstr>
  </property>
</Properties>
</file>