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4E79"/>
          <w:sz w:val="40"/>
        </w:rPr>
        <w:t>中芯力算网站 Demo 设计说明与页面结构梳理</w:t>
      </w:r>
    </w:p>
    <w:p>
      <w:r>
        <w:rPr>
          <w:rFonts w:ascii="微软雅黑" w:hAnsi="微软雅黑" w:eastAsia="微软雅黑"/>
          <w:b/>
          <w:sz w:val="22"/>
        </w:rPr>
        <w:t>公司名称</w:t>
      </w:r>
      <w:r>
        <w:rPr>
          <w:rFonts w:ascii="微软雅黑" w:hAnsi="微软雅黑" w:eastAsia="微软雅黑"/>
          <w:sz w:val="22"/>
        </w:rPr>
        <w:t xml:space="preserve">：中芯力算　</w:t>
      </w:r>
      <w:r>
        <w:rPr>
          <w:rFonts w:ascii="微软雅黑" w:hAnsi="微软雅黑" w:eastAsia="微软雅黑"/>
          <w:b/>
          <w:sz w:val="22"/>
        </w:rPr>
        <w:t>域名</w:t>
      </w:r>
      <w:r>
        <w:rPr>
          <w:rFonts w:ascii="微软雅黑" w:hAnsi="微软雅黑" w:eastAsia="微软雅黑"/>
          <w:sz w:val="22"/>
        </w:rPr>
        <w:t>：www.lisuanai.cn</w:t>
      </w:r>
    </w:p>
    <w:p>
      <w:r>
        <w:rPr>
          <w:rFonts w:ascii="微软雅黑" w:hAnsi="微软雅黑" w:eastAsia="微软雅黑"/>
          <w:b/>
          <w:sz w:val="22"/>
        </w:rPr>
        <w:t>设计参照</w:t>
      </w:r>
      <w:r>
        <w:rPr>
          <w:rFonts w:ascii="微软雅黑" w:hAnsi="微软雅黑" w:eastAsia="微软雅黑"/>
          <w:sz w:val="22"/>
        </w:rPr>
        <w:t>：kove.cn（白色 SaaS 落地页 + 深色侧栏控制台 + 卡片化布局）</w:t>
      </w:r>
    </w:p>
    <w:p>
      <w:r>
        <w:rPr>
          <w:rFonts w:ascii="微软雅黑" w:hAnsi="微软雅黑" w:eastAsia="微软雅黑"/>
          <w:b/>
          <w:sz w:val="22"/>
        </w:rPr>
        <w:t>交付日期</w:t>
      </w:r>
      <w:r>
        <w:rPr>
          <w:rFonts w:ascii="微软雅黑" w:hAnsi="微软雅黑" w:eastAsia="微软雅黑"/>
          <w:sz w:val="22"/>
        </w:rPr>
        <w:t xml:space="preserve">：2026-09-26　</w:t>
      </w:r>
      <w:r>
        <w:rPr>
          <w:rFonts w:ascii="微软雅黑" w:hAnsi="微软雅黑" w:eastAsia="微软雅黑"/>
          <w:b/>
          <w:sz w:val="22"/>
        </w:rPr>
        <w:t>Demo 文件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 w:eastAsia="Consolas"/>
          <w:sz w:val="20"/>
        </w:rPr>
        <w:t>中芯力算demo\index.html</w:t>
      </w:r>
      <w:r>
        <w:rPr>
          <w:rFonts w:ascii="微软雅黑" w:hAnsi="微软雅黑" w:eastAsia="微软雅黑"/>
          <w:sz w:val="22"/>
        </w:rPr>
        <w:t>（位于 E:\claude</w:t>
        <w:tab/>
        <w:t>oken中转站\，双击即可浏览，无需服务器）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32"/>
        </w:rPr>
        <w:t>一、设计规范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品牌主色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中国红 `#DA251C`（品牌 logo 底色，源自中芯力算_origin.svg）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品牌辅色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深红 `#B01E16`、橙 `#F26B1A`、浅红底 `#FEF0EF`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文字色阶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主 `#13131C` / 次 `#4B5563` / 弱 `#6B7280`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 `#16A34A`、警告 `#D97706`、失败 `#DC2626`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落地页风格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白底 + 灰底（#F7F8FA）分区交替、固定毛玻璃导航、圆角卡片（12px）、hover 浮起效果——参照 kove.cn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控制台风格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深色侧栏（#13131C）+ 浅灰工作区、统计卡 + 表格 + 标签徽章、面包屑导航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Logo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真实品牌 logo（assets/logo.png，中芯力算_whiten 红底白字版，圆角裁切）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4E79"/>
          <w:sz w:val="32"/>
        </w:rPr>
        <w:t>二、页面总览</w:t>
      </w:r>
    </w:p>
    <w:p>
      <w:r>
        <w:rPr>
          <w:rFonts w:ascii="微软雅黑" w:hAnsi="微软雅黑" w:eastAsia="微软雅黑"/>
          <w:b/>
          <w:sz w:val="22"/>
        </w:rPr>
        <w:t>共 68 个页面</w:t>
      </w:r>
      <w:r>
        <w:rPr>
          <w:rFonts w:ascii="微软雅黑" w:hAnsi="微软雅黑" w:eastAsia="微软雅黑"/>
          <w:sz w:val="22"/>
        </w:rPr>
        <w:t>：一级 7 · 二级 13 · 三级 28 · 四级 14 · 五级 6（另有 20 个动态路由详情页）。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32"/>
        </w:rPr>
        <w:t>三、完整页面层级（一至五级）</w:t>
      </w:r>
    </w:p>
    <w:p>
      <w:pPr>
        <w:pStyle w:val="Heading3"/>
      </w:pPr>
      <w:r>
        <w:rPr>
          <w:rFonts w:ascii="微软雅黑" w:hAnsi="微软雅黑" w:eastAsia="微软雅黑"/>
          <w:b/>
          <w:color w:val="000000"/>
          <w:sz w:val="28"/>
        </w:rPr>
        <w:t>一级页面（全局导航，7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Hero + 优势 4 卡 + 4 步接入 + 热门模型 + 代理招募 CTA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模型广场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/models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200+ 模型卡片（文本/图像/视频/向量分类筛选）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价格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/pricing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充值套餐 4 档 + 模型单价示例表（含按张/按秒计费）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文档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/docs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Base URL、cURL/Python 快速开始、接口列表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/login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账号密码登录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/register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手机验证码注册 + 邀请码（送 ¥2 体验金）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页面地图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/sitemap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**自动生成完整 1–5 级页面树，点击直达任意页面**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000000"/>
          <w:sz w:val="28"/>
        </w:rPr>
        <w:t>二级页面（控制台侧栏主菜单，13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概览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在线体验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/console/playground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密钥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/console/keys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/console/logs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/console/recharge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余额转让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/console/transfer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供应商中心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/console/supplier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代理后台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推广分销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/console/affiliate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发票中心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/console/invoice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客户服务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个人设置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/console/settings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页面地图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/sitemap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000000"/>
          <w:sz w:val="28"/>
        </w:rPr>
        <w:t>三级页面（28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在线体验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文本对话 / 图像生成 / 视频生成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/console/playground/{chat,image,video}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密钥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创建密钥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/console/keys/create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订单记录 / 支付结果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/console/recharge/{orders,result}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余额转让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转让记录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/console/transfer/history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供应商中心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渠道列表 / 新建渠道 / 价格设置 / 结算账单 / 健康报告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/console/supplier/{channels,channels/create,pricing,bills,health}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代理后台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客户管理 / 折扣模板 / 结算单 / 提现记录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/console/agent/{clients,templates,settlements,withdrawals}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推广分销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一级下线 / 二级下线 / 佣金记录 / 佣金提现 / 代理加盟 / 邀请链接与海报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/console/affiliate/{level1,level2,commissions,withdraw,join,links}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发票中心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发票记录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/console/invoice/history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客户服务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帮助中心 / 我的工单 / 提交工单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/console/support/{help,tickets,tickets/create}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个人设置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基本资料 / 修改密码 / 实名认证 / 两步验证 / 登录设备 / 消息通知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/console/settings/{profile,password,realname,2fa,devices,notifications}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000000"/>
          <w:sz w:val="28"/>
        </w:rPr>
        <w:t>四级页面（详情/编辑，14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密钥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密钥详情 / 编辑密钥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/console/keys/:id 与 /console/keys/:id/edit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调用详情（含计费明细）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/console/logs/:id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订单详情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/console/recharge/orders/:id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推广分销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下线用户详情 / 佣金明细详情 / 提现详情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/console/affiliate/level1/:id、commissions/:id、withdraw/:id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余额转让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转让详情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/console/transfer/history/:id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供应商中心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渠道详情 / 结算单详情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/console/supplier/channels/:id、bills/:id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代理后台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客户详情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/console/agent/clients/:id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发票中心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发票详情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/console/invoice/history/:id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客户服务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工单详情（对话式）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/console/support/tickets/:id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个人设置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设备详情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/console/settings/devices/:id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000000"/>
          <w:sz w:val="28"/>
        </w:rPr>
        <w:t>五级页面（深层明细，6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供应商中心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渠道模型映射 / 更新渠道密钥 / 上游倍率变动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/console/supplier/channels/:id/{mapping,credential,upstream-changes}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重试链路·上游尝试瀑布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/console/logs/:id/attempts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代理后台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客户折扣编辑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/console/agent/clients/:id/discount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客户服务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工单评价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/console/support/tickets/:id/feedback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4E79"/>
          <w:sz w:val="32"/>
        </w:rPr>
        <w:t>四、Demo 特色功能点（与竞品实测结论呼应）</w:t>
      </w:r>
    </w:p>
    <w:p>
      <w:pPr>
        <w:ind w:left="432"/>
      </w:pPr>
      <w:r>
        <w:rPr>
          <w:rFonts w:ascii="微软雅黑" w:hAnsi="微软雅黑" w:eastAsia="微软雅黑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页面地图页</w:t>
      </w:r>
      <w:r>
        <w:rPr>
          <w:rFonts w:ascii="微软雅黑" w:hAnsi="微软雅黑" w:eastAsia="微软雅黑"/>
          <w:sz w:val="22"/>
        </w:rPr>
        <w:t>：自动生成全站 1–5 级页面树（级别徽章 + 路由 + 父级关系），点击直达——满足"完整展示梳理"要求；</w:t>
      </w:r>
    </w:p>
    <w:p>
      <w:pPr>
        <w:ind w:left="432"/>
      </w:pPr>
      <w:r>
        <w:rPr>
          <w:rFonts w:ascii="微软雅黑" w:hAnsi="微软雅黑" w:eastAsia="微软雅黑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计费明细透明化</w:t>
      </w:r>
      <w:r>
        <w:rPr>
          <w:rFonts w:ascii="微软雅黑" w:hAnsi="微软雅黑" w:eastAsia="微软雅黑"/>
          <w:sz w:val="22"/>
        </w:rPr>
        <w:t>：调用详情页展示完整倍率链/折扣链/分时折扣（参照 tokease 实测字段设计）；</w:t>
      </w:r>
    </w:p>
    <w:p>
      <w:pPr>
        <w:ind w:left="432"/>
      </w:pPr>
      <w:r>
        <w:rPr>
          <w:rFonts w:ascii="微软雅黑" w:hAnsi="微软雅黑" w:eastAsia="微软雅黑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重试链路瀑布</w:t>
      </w:r>
      <w:r>
        <w:rPr>
          <w:rFonts w:ascii="微软雅黑" w:hAnsi="微软雅黑" w:eastAsia="微软雅黑"/>
          <w:sz w:val="22"/>
        </w:rPr>
        <w:t>：渠道匿名（route_slug）+ 逐次尝试记录（参照 OpenRouter Upstream Requests 设计）；</w:t>
      </w:r>
    </w:p>
    <w:p>
      <w:pPr>
        <w:ind w:left="432"/>
      </w:pPr>
      <w:r>
        <w:rPr>
          <w:rFonts w:ascii="微软雅黑" w:hAnsi="微软雅黑" w:eastAsia="微软雅黑"/>
          <w:sz w:val="22"/>
        </w:rPr>
        <w:t xml:space="preserve">4. </w:t>
      </w:r>
      <w:r>
        <w:rPr>
          <w:rFonts w:ascii="微软雅黑" w:hAnsi="微软雅黑" w:eastAsia="微软雅黑"/>
          <w:b/>
          <w:sz w:val="22"/>
        </w:rPr>
        <w:t>上游倍率变动检测</w:t>
      </w:r>
      <w:r>
        <w:rPr>
          <w:rFonts w:ascii="微软雅黑" w:hAnsi="微软雅黑" w:eastAsia="微软雅黑"/>
          <w:sz w:val="22"/>
        </w:rPr>
        <w:t>：供应商渠道页含每日官方价变动检测与应用（参照 tokease upstream_updates）；</w:t>
      </w:r>
    </w:p>
    <w:p>
      <w:pPr>
        <w:ind w:left="432"/>
      </w:pPr>
      <w:r>
        <w:rPr>
          <w:rFonts w:ascii="微软雅黑" w:hAnsi="微软雅黑" w:eastAsia="微软雅黑"/>
          <w:sz w:val="22"/>
        </w:rPr>
        <w:t xml:space="preserve">5. </w:t>
      </w:r>
      <w:r>
        <w:rPr>
          <w:rFonts w:ascii="微软雅黑" w:hAnsi="微软雅黑" w:eastAsia="微软雅黑"/>
          <w:b/>
          <w:sz w:val="22"/>
        </w:rPr>
        <w:t>三类钱包隔离</w:t>
      </w:r>
      <w:r>
        <w:rPr>
          <w:rFonts w:ascii="微软雅黑" w:hAnsi="微软雅黑" w:eastAsia="微软雅黑"/>
          <w:sz w:val="22"/>
        </w:rPr>
        <w:t>：佣金与余额分列、转让不参与分佣（参照 kove 实测字段结构）；</w:t>
      </w:r>
    </w:p>
    <w:p>
      <w:pPr>
        <w:ind w:left="432"/>
      </w:pPr>
      <w:r>
        <w:rPr>
          <w:rFonts w:ascii="微软雅黑" w:hAnsi="微软雅黑" w:eastAsia="微软雅黑"/>
          <w:sz w:val="22"/>
        </w:rPr>
        <w:t xml:space="preserve">6. </w:t>
      </w:r>
      <w:r>
        <w:rPr>
          <w:rFonts w:ascii="微软雅黑" w:hAnsi="微软雅黑" w:eastAsia="微软雅黑"/>
          <w:b/>
          <w:sz w:val="22"/>
        </w:rPr>
        <w:t>密钥级管控</w:t>
      </w:r>
      <w:r>
        <w:rPr>
          <w:rFonts w:ascii="微软雅黑" w:hAnsi="微软雅黑" w:eastAsia="微软雅黑"/>
          <w:sz w:val="22"/>
        </w:rPr>
        <w:t>：RPM 限流、日限额、额度上限、模型白名单、IP 白名单。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32"/>
        </w:rPr>
        <w:t>五、文件清单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demo/index.html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Demo 主文件（样式 + 框架），双击打开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demo/assets/logo.png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品牌 logo（中芯力算_whiten.png 复刻）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demo/router.js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路由框架 + 布局渲染 + 通用组件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demo/pages-landing.js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一级落地页 + 页面地图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demo/pages-console.js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二级/三级控制台页面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demo/pages-detail.js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四级/五级详情页面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