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Technical conclusion of the TLC591x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05"/>
        <w:gridCol w:w="888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Meaning</w:t>
            </w: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HC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CC1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CC2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CC3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CC4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</w:t>
            </w: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VG = (1 + HC)×(1 + D/64) / 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CC0×2^5 + CC1×2^4 + CC2×2^3 + CC3×2^2 + CC4×2^1 + CC5×2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number with 1-bit exponent HC and 6-bit CC[0:5]. {HC,CC[0:5]} divides the programmable voltage gain VG into 128 steps and two sub-bands: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Low voltage sub-band (HC = 0): VG = 1/4 ~ 127/256, linearly divided into 64 steps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High voltage sub-band (HC = 1): VG = 1/2 ~ 127/128, linearly divided into 64 steps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CM: In addition to determining the ratio IOUT,target/Iref, CM limits the output current range. </w:t>
      </w:r>
      <w:r>
        <w:rPr>
          <w:rFonts w:hint="eastAsia"/>
          <w:color w:val="0000FF"/>
          <w:lang w:val="en-US" w:eastAsia="zh-CN"/>
        </w:rPr>
        <w:t xml:space="preserve">High Current Multiplier (CM = 1): IOUT,target/Iref = 15, suitable for output current range IOUT = 10 mA to 120 mA.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Low Current Multiplier (CM = 0): IOUT,target/Iref = 5, suitable for output current range IOUT = 3 mA to 40 mA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 default= 127/128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 default=1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 that,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Vref=1.26*127/128=1.25v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Iout=(1.25/Rext)*15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determine the Rext based on the I we need for the LEDs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A38C7"/>
    <w:rsid w:val="54CA38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2016-06-07T12:01:00Z</dcterms:created>
  <dc:creator>cy</dc:creator>
  <cp:lastModifiedBy>cy</cp:lastModifiedBy>
  <dcterms:modified xsi:type="dcterms:W3CDTF">2016-06-07T12:20:40Z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