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46397F">
      <w:pPr>
        <w:pStyle w:val="2"/>
      </w:pPr>
      <w:bookmarkStart w:id="0" w:name="员工差旅注意事项与行为规范指南"/>
      <w:r>
        <w:rPr>
          <w:rFonts w:hint="eastAsia"/>
        </w:rPr>
        <w:t>员工差旅注意事项与行为规范指南</w:t>
      </w:r>
    </w:p>
    <w:p w14:paraId="1618AB22">
      <w:pPr>
        <w:pStyle w:val="4"/>
      </w:pPr>
      <w:bookmarkStart w:id="1" w:name="一-出差前准备"/>
      <w:r>
        <w:rPr>
          <w:rFonts w:hint="eastAsia"/>
        </w:rPr>
        <w:t>一、</w:t>
      </w:r>
      <w:r>
        <w:t xml:space="preserve"> </w:t>
      </w:r>
      <w:r>
        <w:rPr>
          <w:rFonts w:hint="eastAsia"/>
        </w:rPr>
        <w:t>出差前准备</w:t>
      </w:r>
    </w:p>
    <w:p w14:paraId="4B6A03B4">
      <w:pPr>
        <w:pStyle w:val="5"/>
      </w:pPr>
      <w:bookmarkStart w:id="2" w:name="审批流程"/>
      <w:r>
        <w:t xml:space="preserve">1. </w:t>
      </w:r>
      <w:r>
        <w:rPr>
          <w:rFonts w:hint="eastAsia"/>
        </w:rPr>
        <w:t>审批流程</w:t>
      </w:r>
    </w:p>
    <w:p w14:paraId="3D1CEDC0">
      <w:pPr>
        <w:pStyle w:val="24"/>
        <w:numPr>
          <w:ilvl w:val="0"/>
          <w:numId w:val="1"/>
        </w:numPr>
      </w:pPr>
      <w:r>
        <w:rPr>
          <w:rFonts w:hint="eastAsia"/>
          <w:b/>
          <w:bCs/>
        </w:rPr>
        <w:t>提前申请</w:t>
      </w:r>
      <w:r>
        <w:rPr>
          <w:rFonts w:hint="eastAsia"/>
        </w:rPr>
        <w:t>：所有差旅活动必须提前在OA系统中提交《出差申请单》，明确出差事由、目的地、预计时间及预算。</w:t>
      </w:r>
    </w:p>
    <w:p w14:paraId="19D9C508">
      <w:pPr>
        <w:pStyle w:val="24"/>
        <w:numPr>
          <w:ilvl w:val="0"/>
          <w:numId w:val="1"/>
        </w:numPr>
      </w:pPr>
      <w:r>
        <w:rPr>
          <w:rFonts w:hint="eastAsia"/>
          <w:b/>
          <w:bCs/>
        </w:rPr>
        <w:t>审批权限</w:t>
      </w:r>
      <w:r>
        <w:rPr>
          <w:rFonts w:hint="eastAsia"/>
        </w:rPr>
        <w:t>：申请需经直属主管及部门负责人审批同意后方可执行；跨部门或超预算差旅需增加相应级别领导审批。</w:t>
      </w:r>
    </w:p>
    <w:p w14:paraId="68C37A2F">
      <w:pPr>
        <w:pStyle w:val="24"/>
        <w:numPr>
          <w:ilvl w:val="0"/>
          <w:numId w:val="1"/>
        </w:numPr>
      </w:pPr>
      <w:r>
        <w:rPr>
          <w:rFonts w:hint="eastAsia"/>
          <w:b/>
          <w:bCs/>
        </w:rPr>
        <w:t>变更处理</w:t>
      </w:r>
      <w:r>
        <w:rPr>
          <w:rFonts w:hint="eastAsia"/>
        </w:rPr>
        <w:t>：若行程发生临时变更（如延长天数、更改目的地），须及时在系统中提交变更申请并获批。</w:t>
      </w:r>
    </w:p>
    <w:p w14:paraId="4BF0C83E">
      <w:pPr>
        <w:pStyle w:val="24"/>
        <w:numPr>
          <w:numId w:val="0"/>
        </w:numPr>
      </w:pPr>
      <w:bookmarkStart w:id="12" w:name="_GoBack"/>
      <w:bookmarkEnd w:id="12"/>
    </w:p>
    <w:bookmarkEnd w:id="2"/>
    <w:p w14:paraId="0C5FA049">
      <w:pPr>
        <w:pStyle w:val="5"/>
      </w:pPr>
      <w:bookmarkStart w:id="3" w:name="行程预订"/>
      <w:r>
        <w:t xml:space="preserve">2. </w:t>
      </w:r>
      <w:r>
        <w:rPr>
          <w:rFonts w:hint="eastAsia"/>
        </w:rPr>
        <w:t>行程预订</w:t>
      </w:r>
    </w:p>
    <w:p w14:paraId="4B94D035">
      <w:pPr>
        <w:pStyle w:val="24"/>
        <w:numPr>
          <w:ilvl w:val="0"/>
          <w:numId w:val="1"/>
        </w:numPr>
      </w:pPr>
      <w:r>
        <w:rPr>
          <w:rFonts w:hint="eastAsia"/>
          <w:b/>
          <w:bCs/>
        </w:rPr>
        <w:t>统一渠道</w:t>
      </w:r>
      <w:r>
        <w:rPr>
          <w:rFonts w:hint="eastAsia"/>
        </w:rPr>
        <w:t>：机票、火车票及酒店原则上应通过公司指定的差旅平台或合作供应商进行预订，以享受企业协议价。</w:t>
      </w:r>
    </w:p>
    <w:p w14:paraId="27046A3B">
      <w:pPr>
        <w:pStyle w:val="24"/>
        <w:numPr>
          <w:ilvl w:val="0"/>
          <w:numId w:val="1"/>
        </w:numPr>
      </w:pPr>
      <w:r>
        <w:rPr>
          <w:rFonts w:hint="eastAsia"/>
          <w:b/>
          <w:bCs/>
        </w:rPr>
        <w:t>预订时效</w:t>
      </w:r>
      <w:r>
        <w:rPr>
          <w:rFonts w:hint="eastAsia"/>
        </w:rPr>
        <w:t>：机票建议提前3-7天预订，高铁/火车票提前3-5天预订，以确保获得最优价格。</w:t>
      </w:r>
    </w:p>
    <w:p w14:paraId="6F6C1F44">
      <w:pPr>
        <w:pStyle w:val="24"/>
        <w:numPr>
          <w:ilvl w:val="0"/>
          <w:numId w:val="1"/>
        </w:numPr>
      </w:pPr>
      <w:r>
        <w:rPr>
          <w:rFonts w:hint="eastAsia"/>
          <w:b/>
          <w:bCs/>
        </w:rPr>
        <w:t>退改签规定</w:t>
      </w:r>
      <w:r>
        <w:rPr>
          <w:rFonts w:hint="eastAsia"/>
        </w:rPr>
        <w:t>：尽量避免产生退改签费用；如遇不可抗力需退改，须保留相关证明并及时报备。</w:t>
      </w:r>
    </w:p>
    <w:p w14:paraId="05FA1E7B">
      <w:pPr>
        <w:pStyle w:val="24"/>
        <w:numPr>
          <w:ilvl w:val="0"/>
          <w:numId w:val="0"/>
        </w:numPr>
        <w:spacing w:before="36" w:after="36"/>
      </w:pPr>
    </w:p>
    <w:bookmarkEnd w:id="3"/>
    <w:p w14:paraId="21F858A2">
      <w:pPr>
        <w:pStyle w:val="5"/>
      </w:pPr>
      <w:bookmarkStart w:id="4" w:name="物品打包"/>
      <w:r>
        <w:t xml:space="preserve">3. </w:t>
      </w:r>
      <w:r>
        <w:rPr>
          <w:rFonts w:hint="eastAsia"/>
        </w:rPr>
        <w:t>物品打包</w:t>
      </w:r>
    </w:p>
    <w:p w14:paraId="4F6D0C1A">
      <w:pPr>
        <w:pStyle w:val="24"/>
        <w:numPr>
          <w:ilvl w:val="0"/>
          <w:numId w:val="1"/>
        </w:numPr>
      </w:pPr>
      <w:r>
        <w:rPr>
          <w:rFonts w:hint="eastAsia"/>
          <w:b/>
          <w:bCs/>
        </w:rPr>
        <w:t>证件资料</w:t>
      </w:r>
      <w:r>
        <w:rPr>
          <w:rFonts w:hint="eastAsia"/>
        </w:rPr>
        <w:t>：务必携带身份证、护照/签证（涉外）、名片、纸质版合同或会议资料备份。</w:t>
      </w:r>
    </w:p>
    <w:p w14:paraId="257625B4">
      <w:pPr>
        <w:pStyle w:val="24"/>
        <w:numPr>
          <w:ilvl w:val="0"/>
          <w:numId w:val="1"/>
        </w:numPr>
      </w:pPr>
      <w:r>
        <w:rPr>
          <w:rFonts w:hint="eastAsia"/>
          <w:b/>
          <w:bCs/>
        </w:rPr>
        <w:t>办公设备</w:t>
      </w:r>
      <w:r>
        <w:rPr>
          <w:rFonts w:hint="eastAsia"/>
        </w:rPr>
        <w:t>：笔记本电脑、充电器、转换插头、移动电源及必要的办公文具。</w:t>
      </w:r>
    </w:p>
    <w:p w14:paraId="40911F37">
      <w:pPr>
        <w:pStyle w:val="24"/>
        <w:numPr>
          <w:ilvl w:val="0"/>
          <w:numId w:val="1"/>
        </w:numPr>
      </w:pPr>
      <w:r>
        <w:rPr>
          <w:rFonts w:hint="eastAsia"/>
          <w:b/>
          <w:bCs/>
        </w:rPr>
        <w:t>生活用品</w:t>
      </w:r>
      <w:r>
        <w:rPr>
          <w:rFonts w:hint="eastAsia"/>
        </w:rPr>
        <w:t>：根据目的地天气准备适宜的衣物；建议自备常用药品、洗漱用品及雨具。</w:t>
      </w:r>
    </w:p>
    <w:p w14:paraId="1A675CFF">
      <w:pPr>
        <w:pStyle w:val="24"/>
        <w:numPr>
          <w:ilvl w:val="0"/>
          <w:numId w:val="1"/>
        </w:numPr>
      </w:pPr>
      <w:r>
        <w:rPr>
          <w:rFonts w:hint="eastAsia"/>
          <w:b/>
          <w:bCs/>
        </w:rPr>
        <w:t>信息安全</w:t>
      </w:r>
      <w:r>
        <w:rPr>
          <w:rFonts w:hint="eastAsia"/>
        </w:rPr>
        <w:t>：严禁携带存有公司核心机密且未加密的私人存储设备；涉密文件需妥善保管。</w:t>
      </w:r>
    </w:p>
    <w:p w14:paraId="0995F0CB">
      <w:pPr>
        <w:pStyle w:val="24"/>
        <w:numPr>
          <w:ilvl w:val="0"/>
          <w:numId w:val="0"/>
        </w:numPr>
        <w:spacing w:before="36" w:after="36"/>
      </w:pPr>
    </w:p>
    <w:bookmarkEnd w:id="1"/>
    <w:bookmarkEnd w:id="4"/>
    <w:p w14:paraId="363E089E">
      <w:pPr>
        <w:pStyle w:val="4"/>
      </w:pPr>
      <w:bookmarkStart w:id="5" w:name="二-差旅期间规范"/>
      <w:r>
        <w:rPr>
          <w:rFonts w:hint="eastAsia"/>
        </w:rPr>
        <w:t>二、</w:t>
      </w:r>
      <w:r>
        <w:t xml:space="preserve"> </w:t>
      </w:r>
      <w:bookmarkStart w:id="6" w:name="餐饮报销额度"/>
      <w:r>
        <w:rPr>
          <w:rFonts w:hint="eastAsia"/>
        </w:rPr>
        <w:t>商务宴请与礼品馈赠</w:t>
      </w:r>
    </w:p>
    <w:p w14:paraId="497D4EB8">
      <w:pPr>
        <w:pStyle w:val="5"/>
        <w:rPr>
          <w:rFonts w:hint="eastAsia"/>
        </w:rPr>
      </w:pPr>
      <w:r>
        <w:rPr>
          <w:rFonts w:hint="eastAsia"/>
        </w:rPr>
        <w:t>1</w:t>
      </w:r>
      <w:r>
        <w:t>.</w:t>
      </w:r>
      <w:r>
        <w:rPr>
          <w:rFonts w:hint="eastAsia"/>
        </w:rPr>
        <w:t>基本要求</w:t>
      </w:r>
    </w:p>
    <w:bookmarkEnd w:id="6"/>
    <w:p w14:paraId="3AE7EC87">
      <w:pPr>
        <w:pStyle w:val="24"/>
        <w:numPr>
          <w:ilvl w:val="0"/>
          <w:numId w:val="1"/>
        </w:numPr>
      </w:pPr>
      <w:bookmarkStart w:id="7" w:name="商务宴请与礼品馈赠新增专项"/>
      <w:r>
        <w:rPr>
          <w:rFonts w:hint="eastAsia"/>
          <w:b/>
          <w:bCs/>
        </w:rPr>
        <w:t>宴请原则</w:t>
      </w:r>
      <w:r>
        <w:rPr>
          <w:rFonts w:hint="eastAsia"/>
        </w:rPr>
        <w:t>：商务宴请应遵循“务实、节约、对等”的原则，严禁铺张浪费、过度奢华或借宴请之名进行私人聚会。</w:t>
      </w:r>
    </w:p>
    <w:p w14:paraId="6E69C2F1">
      <w:pPr>
        <w:pStyle w:val="24"/>
        <w:numPr>
          <w:ilvl w:val="0"/>
          <w:numId w:val="1"/>
        </w:numPr>
      </w:pPr>
      <w:r>
        <w:rPr>
          <w:rFonts w:hint="eastAsia"/>
          <w:b/>
          <w:bCs/>
        </w:rPr>
        <w:t>审批与陪同</w:t>
      </w:r>
      <w:r>
        <w:rPr>
          <w:rFonts w:hint="eastAsia"/>
        </w:rPr>
        <w:t>：单次宴请预算超过500元或接待重要客户，需提前在OA系统中提交《业务招待申请单》。陪同人员数量原则上不得超过客户人数，严禁无关人员蹭吃蹭喝。</w:t>
      </w:r>
    </w:p>
    <w:p w14:paraId="6A6897D3">
      <w:pPr>
        <w:pStyle w:val="24"/>
        <w:numPr>
          <w:ilvl w:val="0"/>
          <w:numId w:val="1"/>
        </w:numPr>
      </w:pPr>
      <w:r>
        <w:rPr>
          <w:rFonts w:hint="eastAsia"/>
          <w:b/>
          <w:bCs/>
        </w:rPr>
        <w:t>场所与标准</w:t>
      </w:r>
      <w:r>
        <w:rPr>
          <w:rFonts w:hint="eastAsia"/>
        </w:rPr>
        <w:t>：宴请应选择环境适宜、安全卫生的正规餐饮场所，严禁出入私人会所或高消费娱乐场所。单次人均消费需严格控制在公司规定的业务招待标准内。</w:t>
      </w:r>
    </w:p>
    <w:p w14:paraId="499578A8">
      <w:pPr>
        <w:pStyle w:val="24"/>
        <w:numPr>
          <w:ilvl w:val="0"/>
          <w:numId w:val="1"/>
        </w:numPr>
      </w:pPr>
      <w:r>
        <w:rPr>
          <w:rFonts w:hint="eastAsia"/>
          <w:b/>
          <w:bCs/>
        </w:rPr>
        <w:t>礼品合规</w:t>
      </w:r>
      <w:r>
        <w:rPr>
          <w:rFonts w:hint="eastAsia"/>
        </w:rPr>
        <w:t>：赠送客户礼品应以公司宣传品、文创产品或具有地方特色的纪念品为主，严禁赠送现金、购物卡、有价证券及贵重奢侈品。单次礼品价值不得超过公司合规红线（如200元/人）。</w:t>
      </w:r>
    </w:p>
    <w:p w14:paraId="06429A4E">
      <w:pPr>
        <w:pStyle w:val="24"/>
        <w:numPr>
          <w:ilvl w:val="0"/>
          <w:numId w:val="1"/>
        </w:numPr>
      </w:pPr>
      <w:r>
        <w:rPr>
          <w:rFonts w:hint="eastAsia"/>
          <w:b/>
          <w:bCs/>
        </w:rPr>
        <w:t>廉洁纪律</w:t>
      </w:r>
      <w:r>
        <w:rPr>
          <w:rFonts w:hint="eastAsia"/>
        </w:rPr>
        <w:t>：严禁向客户索取回扣、佣金或任何形式的个人利益；如遇客户主动赠送贵重礼品，应礼貌婉拒，无法拒收的须在24小时内上交公司行政或纪检部门登记处理。</w:t>
      </w:r>
    </w:p>
    <w:p w14:paraId="44264A93">
      <w:pPr>
        <w:pStyle w:val="24"/>
        <w:numPr>
          <w:ilvl w:val="0"/>
          <w:numId w:val="1"/>
        </w:numPr>
      </w:pPr>
      <w:r>
        <w:rPr>
          <w:rFonts w:hint="eastAsia"/>
          <w:b/>
          <w:bCs/>
        </w:rPr>
        <w:t>票据规范</w:t>
      </w:r>
      <w:r>
        <w:rPr>
          <w:rFonts w:hint="eastAsia"/>
        </w:rPr>
        <w:t>：报销业务招待费时，必须提供正规发票及详细的消费水单（菜单），并附上《业务招待申请单》及参与人员名单，确保业务真实性。</w:t>
      </w:r>
    </w:p>
    <w:p w14:paraId="01F5DD90">
      <w:pPr>
        <w:pStyle w:val="24"/>
        <w:numPr>
          <w:ilvl w:val="0"/>
          <w:numId w:val="0"/>
        </w:numPr>
        <w:spacing w:before="36" w:after="36"/>
      </w:pPr>
    </w:p>
    <w:bookmarkEnd w:id="7"/>
    <w:p w14:paraId="0C07B1A3">
      <w:pPr>
        <w:pStyle w:val="5"/>
      </w:pPr>
      <w:bookmarkStart w:id="8" w:name="行为准则"/>
      <w:r>
        <w:rPr>
          <w:rFonts w:hint="eastAsia"/>
        </w:rPr>
        <w:t>2</w:t>
      </w:r>
      <w:r>
        <w:t xml:space="preserve">. </w:t>
      </w:r>
      <w:r>
        <w:rPr>
          <w:rFonts w:hint="eastAsia"/>
        </w:rPr>
        <w:t>行为准则</w:t>
      </w:r>
    </w:p>
    <w:p w14:paraId="1E367197">
      <w:pPr>
        <w:pStyle w:val="24"/>
        <w:numPr>
          <w:ilvl w:val="0"/>
          <w:numId w:val="1"/>
        </w:numPr>
      </w:pPr>
      <w:r>
        <w:rPr>
          <w:rFonts w:hint="eastAsia"/>
          <w:b/>
          <w:bCs/>
        </w:rPr>
        <w:t>职业形象</w:t>
      </w:r>
      <w:r>
        <w:rPr>
          <w:rFonts w:hint="eastAsia"/>
        </w:rPr>
        <w:t>：出差期间应保持整洁得体的职业着装，言行举止代表公司形象。</w:t>
      </w:r>
    </w:p>
    <w:p w14:paraId="29B06A40">
      <w:pPr>
        <w:pStyle w:val="24"/>
        <w:numPr>
          <w:ilvl w:val="0"/>
          <w:numId w:val="1"/>
        </w:numPr>
      </w:pPr>
      <w:r>
        <w:rPr>
          <w:rFonts w:hint="eastAsia"/>
          <w:b/>
          <w:bCs/>
        </w:rPr>
        <w:t>保密义务</w:t>
      </w:r>
      <w:r>
        <w:rPr>
          <w:rFonts w:hint="eastAsia"/>
        </w:rPr>
        <w:t>：在公共场所（如高铁、餐厅、大堂）讨论公司业务时，注意防范窃听，严禁泄露客户信息及商业机密。</w:t>
      </w:r>
    </w:p>
    <w:p w14:paraId="6FE8DC29">
      <w:pPr>
        <w:pStyle w:val="24"/>
        <w:numPr>
          <w:ilvl w:val="0"/>
          <w:numId w:val="1"/>
        </w:numPr>
      </w:pPr>
      <w:r>
        <w:rPr>
          <w:rFonts w:hint="eastAsia"/>
          <w:b/>
          <w:bCs/>
        </w:rPr>
        <w:t>遵纪守法</w:t>
      </w:r>
      <w:r>
        <w:rPr>
          <w:rFonts w:hint="eastAsia"/>
        </w:rPr>
        <w:t>：严格遵守出差地法律法规及风俗习惯；严禁参与赌博、色情等违法违纪活动。</w:t>
      </w:r>
    </w:p>
    <w:p w14:paraId="1B93C83B">
      <w:pPr>
        <w:pStyle w:val="24"/>
        <w:numPr>
          <w:ilvl w:val="0"/>
          <w:numId w:val="0"/>
        </w:numPr>
        <w:ind w:left="360" w:leftChars="0"/>
      </w:pPr>
    </w:p>
    <w:bookmarkEnd w:id="8"/>
    <w:p w14:paraId="5352F29A">
      <w:pPr>
        <w:pStyle w:val="5"/>
      </w:pPr>
      <w:bookmarkStart w:id="9" w:name="安全注意事项"/>
      <w:r>
        <w:rPr>
          <w:rFonts w:hint="eastAsia"/>
        </w:rPr>
        <w:t>3.</w:t>
      </w:r>
      <w:r>
        <w:t xml:space="preserve"> </w:t>
      </w:r>
      <w:r>
        <w:rPr>
          <w:rFonts w:hint="eastAsia"/>
        </w:rPr>
        <w:t>安全注意事项</w:t>
      </w:r>
    </w:p>
    <w:p w14:paraId="3031D264">
      <w:pPr>
        <w:pStyle w:val="24"/>
        <w:numPr>
          <w:ilvl w:val="0"/>
          <w:numId w:val="1"/>
        </w:numPr>
      </w:pPr>
      <w:r>
        <w:rPr>
          <w:rFonts w:hint="eastAsia"/>
          <w:b/>
          <w:bCs/>
        </w:rPr>
        <w:t>人身财产安全</w:t>
      </w:r>
      <w:r>
        <w:rPr>
          <w:rFonts w:hint="eastAsia"/>
        </w:rPr>
        <w:t>：妥善保管贵重物品及证件；避免深夜独自前往偏僻区域；保持通讯畅通，定期向主管报平安。</w:t>
      </w:r>
    </w:p>
    <w:p w14:paraId="02611502">
      <w:pPr>
        <w:pStyle w:val="24"/>
        <w:numPr>
          <w:ilvl w:val="0"/>
          <w:numId w:val="1"/>
        </w:numPr>
      </w:pPr>
      <w:r>
        <w:rPr>
          <w:rFonts w:hint="eastAsia"/>
          <w:b/>
          <w:bCs/>
        </w:rPr>
        <w:t>应急响应</w:t>
      </w:r>
      <w:r>
        <w:rPr>
          <w:rFonts w:hint="eastAsia"/>
        </w:rPr>
        <w:t>：如遇突发事件（疾病、事故、证件遗失等），应第一时间联系当地警方及公司紧急联系人。</w:t>
      </w:r>
    </w:p>
    <w:p w14:paraId="616F9690">
      <w:pPr>
        <w:pStyle w:val="24"/>
        <w:numPr>
          <w:ilvl w:val="0"/>
          <w:numId w:val="1"/>
        </w:numPr>
      </w:pPr>
      <w:r>
        <w:rPr>
          <w:rFonts w:hint="eastAsia"/>
          <w:b/>
          <w:bCs/>
        </w:rPr>
        <w:t>健康防护</w:t>
      </w:r>
      <w:r>
        <w:rPr>
          <w:rFonts w:hint="eastAsia"/>
        </w:rPr>
        <w:t>：前往传染病高发区或特殊环境，需提前接种疫苗或做好个人防护措施。</w:t>
      </w:r>
    </w:p>
    <w:p w14:paraId="32E839EE">
      <w:pPr>
        <w:pStyle w:val="24"/>
        <w:numPr>
          <w:ilvl w:val="0"/>
          <w:numId w:val="0"/>
        </w:numPr>
        <w:spacing w:before="36" w:after="36"/>
      </w:pPr>
    </w:p>
    <w:bookmarkEnd w:id="5"/>
    <w:bookmarkEnd w:id="9"/>
    <w:p w14:paraId="10EFEBEF">
      <w:pPr>
        <w:pStyle w:val="4"/>
      </w:pPr>
      <w:bookmarkStart w:id="10" w:name="三-差旅后事宜"/>
      <w:r>
        <w:rPr>
          <w:rFonts w:hint="eastAsia"/>
        </w:rPr>
        <w:t>三、</w:t>
      </w:r>
      <w:r>
        <w:t xml:space="preserve"> </w:t>
      </w:r>
      <w:r>
        <w:rPr>
          <w:rFonts w:hint="eastAsia"/>
        </w:rPr>
        <w:t>差旅后事宜</w:t>
      </w:r>
    </w:p>
    <w:p w14:paraId="5F3ADD3B">
      <w:pPr>
        <w:pStyle w:val="5"/>
      </w:pPr>
      <w:bookmarkStart w:id="11" w:name="票据整理"/>
      <w:r>
        <w:t xml:space="preserve">1. </w:t>
      </w:r>
      <w:r>
        <w:rPr>
          <w:rFonts w:hint="eastAsia"/>
        </w:rPr>
        <w:t>票据整理</w:t>
      </w:r>
    </w:p>
    <w:p w14:paraId="7045FD1E">
      <w:pPr>
        <w:pStyle w:val="24"/>
        <w:numPr>
          <w:ilvl w:val="0"/>
          <w:numId w:val="1"/>
        </w:numPr>
      </w:pPr>
      <w:r>
        <w:rPr>
          <w:rFonts w:hint="eastAsia"/>
          <w:b/>
          <w:bCs/>
        </w:rPr>
        <w:t>合规要求</w:t>
      </w:r>
      <w:r>
        <w:rPr>
          <w:rFonts w:hint="eastAsia"/>
        </w:rPr>
        <w:t>：所有报销票据必须为合法有效的增值税发票，抬头及税号须与公司信息完全一致。</w:t>
      </w:r>
    </w:p>
    <w:p w14:paraId="480C5C30">
      <w:pPr>
        <w:pStyle w:val="24"/>
        <w:numPr>
          <w:ilvl w:val="0"/>
          <w:numId w:val="1"/>
        </w:numPr>
      </w:pPr>
      <w:r>
        <w:rPr>
          <w:rFonts w:hint="eastAsia"/>
          <w:b/>
          <w:bCs/>
        </w:rPr>
        <w:t>明细清单</w:t>
      </w:r>
      <w:r>
        <w:rPr>
          <w:rFonts w:hint="eastAsia"/>
        </w:rPr>
        <w:t>：住宿需提供水单（消费明细）；打车票需注明起止地点及事由；餐饮发票需附点餐明细。</w:t>
      </w:r>
    </w:p>
    <w:p w14:paraId="4B1699C8">
      <w:pPr>
        <w:pStyle w:val="24"/>
        <w:numPr>
          <w:ilvl w:val="0"/>
          <w:numId w:val="1"/>
        </w:numPr>
        <w:rPr>
          <w:rFonts w:hint="eastAsia"/>
        </w:rPr>
      </w:pPr>
      <w:r>
        <w:rPr>
          <w:rFonts w:hint="eastAsia"/>
          <w:b/>
          <w:bCs/>
        </w:rPr>
        <w:t>时效规定</w:t>
      </w:r>
      <w:r>
        <w:rPr>
          <w:rFonts w:hint="eastAsia"/>
        </w:rPr>
        <w:t>：差旅结束后15个工作日内完成票据粘贴与系统填报，逾期将视情况扣减报销额度或不予报销。</w:t>
      </w:r>
      <w:bookmarkEnd w:id="0"/>
      <w:bookmarkEnd w:id="10"/>
      <w:bookmarkEnd w:id="11"/>
    </w:p>
    <w:sectPr>
      <w:footnotePr>
        <w:numRestart w:val="eachSect"/>
      </w:footnote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Consolas">
    <w:altName w:val="苹方-简"/>
    <w:panose1 w:val="020B0609020204030204"/>
    <w:charset w:val="00"/>
    <w:family w:val="roman"/>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lvl>
    <w:lvl w:ilvl="1" w:tentative="0">
      <w:start w:val="0"/>
      <w:numFmt w:val="bullet"/>
      <w:lvlText w:val="◦"/>
      <w:lvlJc w:val="left"/>
      <w:pPr>
        <w:ind w:left="1440" w:hanging="360"/>
      </w:pPr>
    </w:lvl>
    <w:lvl w:ilvl="2" w:tentative="0">
      <w:start w:val="0"/>
      <w:numFmt w:val="bullet"/>
      <w:lvlText w:val="▪"/>
      <w:lvlJc w:val="left"/>
      <w:pPr>
        <w:ind w:left="2160" w:hanging="360"/>
      </w:pPr>
    </w:lvl>
    <w:lvl w:ilvl="3" w:tentative="0">
      <w:start w:val="0"/>
      <w:numFmt w:val="bullet"/>
      <w:lvlText w:val="•"/>
      <w:lvlJc w:val="left"/>
      <w:pPr>
        <w:ind w:left="2880" w:hanging="360"/>
      </w:pPr>
    </w:lvl>
    <w:lvl w:ilvl="4" w:tentative="0">
      <w:start w:val="0"/>
      <w:numFmt w:val="bullet"/>
      <w:lvlText w:val="◦"/>
      <w:lvlJc w:val="left"/>
      <w:pPr>
        <w:ind w:left="3600" w:hanging="360"/>
      </w:pPr>
    </w:lvl>
    <w:lvl w:ilvl="5" w:tentative="0">
      <w:start w:val="0"/>
      <w:numFmt w:val="bullet"/>
      <w:lvlText w:val="▪"/>
      <w:lvlJc w:val="left"/>
      <w:pPr>
        <w:ind w:left="4320" w:hanging="360"/>
      </w:pPr>
    </w:lvl>
    <w:lvl w:ilvl="6" w:tentative="0">
      <w:start w:val="0"/>
      <w:numFmt w:val="bullet"/>
      <w:lvlText w:val="•"/>
      <w:lvlJc w:val="left"/>
      <w:pPr>
        <w:ind w:left="5040" w:hanging="360"/>
      </w:pPr>
    </w:lvl>
    <w:lvl w:ilvl="7" w:tentative="0">
      <w:start w:val="0"/>
      <w:numFmt w:val="bullet"/>
      <w:lvlText w:val="◦"/>
      <w:lvlJc w:val="left"/>
      <w:pPr>
        <w:ind w:left="5760" w:hanging="360"/>
      </w:pPr>
    </w:lvl>
    <w:lvl w:ilvl="8" w:tentative="0">
      <w:start w:val="0"/>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2"/>
  </w:compat>
  <w:rsids>
    <w:rsidRoot w:val="00182F25"/>
    <w:rsid w:val="000B5D23"/>
    <w:rsid w:val="00182F25"/>
    <w:rsid w:val="00220000"/>
    <w:rsid w:val="00357A55"/>
    <w:rsid w:val="004C5DD9"/>
    <w:rsid w:val="00685710"/>
    <w:rsid w:val="00712B80"/>
    <w:rsid w:val="007F2FF3"/>
    <w:rsid w:val="00956751"/>
    <w:rsid w:val="2FFFE9AC"/>
    <w:rsid w:val="3DBFD3C5"/>
    <w:rsid w:val="52FF7FE4"/>
    <w:rsid w:val="5F37E826"/>
    <w:rsid w:val="5F7CC8B9"/>
    <w:rsid w:val="6BB236FA"/>
    <w:rsid w:val="6FFB2B8D"/>
    <w:rsid w:val="7BBF17A5"/>
    <w:rsid w:val="DEFF5869"/>
    <w:rsid w:val="F9DF7F46"/>
    <w:rsid w:val="FDB70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1"/>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题注 字符"/>
    <w:basedOn w:val="19"/>
    <w:link w:val="12"/>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标题 字符"/>
    <w:basedOn w:val="19"/>
    <w:link w:val="15"/>
    <w:qFormat/>
    <w:uiPriority w:val="10"/>
    <w:rPr>
      <w:rFonts w:asciiTheme="majorHAnsi" w:hAnsiTheme="majorHAnsi" w:eastAsiaTheme="majorEastAsia" w:cstheme="majorBidi"/>
      <w:sz w:val="56"/>
      <w:szCs w:val="56"/>
    </w:rPr>
  </w:style>
  <w:style w:type="character" w:customStyle="1" w:styleId="26">
    <w:name w:val="副标题 字符"/>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标题 1 字符"/>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标题 2 字符"/>
    <w:basedOn w:val="19"/>
    <w:link w:val="4"/>
    <w:qFormat/>
    <w:uiPriority w:val="9"/>
    <w:rPr>
      <w:rFonts w:asciiTheme="majorHAnsi" w:hAnsiTheme="majorHAnsi" w:eastAsiaTheme="majorEastAsia" w:cstheme="majorBidi"/>
      <w:color w:val="0F4761" w:themeColor="accent1" w:themeShade="BF"/>
      <w:sz w:val="32"/>
      <w:szCs w:val="32"/>
    </w:rPr>
  </w:style>
  <w:style w:type="character" w:customStyle="1" w:styleId="33">
    <w:name w:val="标题 3 字符"/>
    <w:basedOn w:val="19"/>
    <w:link w:val="5"/>
    <w:qFormat/>
    <w:uiPriority w:val="9"/>
    <w:rPr>
      <w:rFonts w:eastAsiaTheme="majorEastAsia" w:cstheme="majorBidi"/>
      <w:color w:val="0F4761" w:themeColor="accent1" w:themeShade="BF"/>
      <w:sz w:val="28"/>
      <w:szCs w:val="28"/>
    </w:rPr>
  </w:style>
  <w:style w:type="character" w:customStyle="1" w:styleId="34">
    <w:name w:val="标题 4 字符"/>
    <w:basedOn w:val="19"/>
    <w:link w:val="6"/>
    <w:semiHidden/>
    <w:qFormat/>
    <w:uiPriority w:val="9"/>
    <w:rPr>
      <w:rFonts w:eastAsiaTheme="majorEastAsia" w:cstheme="majorBidi"/>
      <w:i/>
      <w:iCs/>
      <w:color w:val="0F4761" w:themeColor="accent1" w:themeShade="BF"/>
    </w:rPr>
  </w:style>
  <w:style w:type="character" w:customStyle="1" w:styleId="35">
    <w:name w:val="标题 5 字符"/>
    <w:basedOn w:val="19"/>
    <w:link w:val="7"/>
    <w:semiHidden/>
    <w:qFormat/>
    <w:uiPriority w:val="9"/>
    <w:rPr>
      <w:rFonts w:eastAsiaTheme="majorEastAsia" w:cstheme="majorBidi"/>
      <w:color w:val="0F4761" w:themeColor="accent1" w:themeShade="BF"/>
    </w:rPr>
  </w:style>
  <w:style w:type="character" w:customStyle="1" w:styleId="36">
    <w:name w:val="标题 6 字符"/>
    <w:basedOn w:val="19"/>
    <w:link w:val="8"/>
    <w:semiHidden/>
    <w:qFormat/>
    <w:uiPriority w:val="9"/>
    <w:rPr>
      <w:rFonts w:eastAsiaTheme="majorEastAsia" w:cstheme="majorBidi"/>
      <w:i/>
      <w:iCs/>
      <w:color w:val="585858" w:themeColor="text1" w:themeTint="A6"/>
    </w:rPr>
  </w:style>
  <w:style w:type="character" w:customStyle="1" w:styleId="37">
    <w:name w:val="标题 7 字符"/>
    <w:basedOn w:val="19"/>
    <w:link w:val="9"/>
    <w:semiHidden/>
    <w:qFormat/>
    <w:uiPriority w:val="9"/>
    <w:rPr>
      <w:rFonts w:eastAsiaTheme="majorEastAsia" w:cstheme="majorBidi"/>
      <w:color w:val="585858" w:themeColor="text1" w:themeTint="A6"/>
    </w:rPr>
  </w:style>
  <w:style w:type="character" w:customStyle="1" w:styleId="38">
    <w:name w:val="标题 8 字符"/>
    <w:basedOn w:val="19"/>
    <w:link w:val="10"/>
    <w:semiHidden/>
    <w:qFormat/>
    <w:uiPriority w:val="9"/>
    <w:rPr>
      <w:rFonts w:eastAsiaTheme="majorEastAsia" w:cstheme="majorBidi"/>
      <w:i/>
      <w:iCs/>
      <w:color w:val="262626" w:themeColor="text1" w:themeTint="D8"/>
    </w:rPr>
  </w:style>
  <w:style w:type="character" w:customStyle="1" w:styleId="39">
    <w:name w:val="标题 9 字符"/>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style>
  <w:style w:type="character" w:customStyle="1" w:styleId="52">
    <w:name w:val="KeywordTok"/>
    <w:basedOn w:val="48"/>
    <w:qFormat/>
    <w:uiPriority w:val="0"/>
    <w:rPr>
      <w:rFonts w:ascii="Consolas" w:hAnsi="Consolas"/>
      <w:b/>
      <w:color w:val="007020"/>
      <w:sz w:val="22"/>
    </w:rPr>
  </w:style>
  <w:style w:type="character" w:customStyle="1" w:styleId="53">
    <w:name w:val="DataTypeTok"/>
    <w:basedOn w:val="48"/>
    <w:qFormat/>
    <w:uiPriority w:val="0"/>
    <w:rPr>
      <w:rFonts w:ascii="Consolas" w:hAnsi="Consolas"/>
      <w:color w:val="902000"/>
      <w:sz w:val="22"/>
    </w:rPr>
  </w:style>
  <w:style w:type="character" w:customStyle="1" w:styleId="54">
    <w:name w:val="DecValTok"/>
    <w:basedOn w:val="48"/>
    <w:qFormat/>
    <w:uiPriority w:val="0"/>
    <w:rPr>
      <w:rFonts w:ascii="Consolas" w:hAnsi="Consolas"/>
      <w:color w:val="40A070"/>
      <w:sz w:val="22"/>
    </w:rPr>
  </w:style>
  <w:style w:type="character" w:customStyle="1" w:styleId="55">
    <w:name w:val="BaseNTok"/>
    <w:basedOn w:val="48"/>
    <w:qFormat/>
    <w:uiPriority w:val="0"/>
    <w:rPr>
      <w:rFonts w:ascii="Consolas" w:hAnsi="Consolas"/>
      <w:color w:val="40A070"/>
      <w:sz w:val="22"/>
    </w:rPr>
  </w:style>
  <w:style w:type="character" w:customStyle="1" w:styleId="56">
    <w:name w:val="FloatTok"/>
    <w:basedOn w:val="48"/>
    <w:qFormat/>
    <w:uiPriority w:val="0"/>
    <w:rPr>
      <w:rFonts w:ascii="Consolas" w:hAnsi="Consolas"/>
      <w:color w:val="40A070"/>
      <w:sz w:val="22"/>
    </w:rPr>
  </w:style>
  <w:style w:type="character" w:customStyle="1" w:styleId="57">
    <w:name w:val="ConstantTok"/>
    <w:basedOn w:val="48"/>
    <w:qFormat/>
    <w:uiPriority w:val="0"/>
    <w:rPr>
      <w:rFonts w:ascii="Consolas" w:hAnsi="Consolas"/>
      <w:color w:val="880000"/>
      <w:sz w:val="22"/>
    </w:rPr>
  </w:style>
  <w:style w:type="character" w:customStyle="1" w:styleId="58">
    <w:name w:val="CharTok"/>
    <w:basedOn w:val="48"/>
    <w:qFormat/>
    <w:uiPriority w:val="0"/>
    <w:rPr>
      <w:rFonts w:ascii="Consolas" w:hAnsi="Consolas"/>
      <w:color w:val="4070A0"/>
      <w:sz w:val="22"/>
    </w:rPr>
  </w:style>
  <w:style w:type="character" w:customStyle="1" w:styleId="59">
    <w:name w:val="SpecialCharTok"/>
    <w:basedOn w:val="48"/>
    <w:qFormat/>
    <w:uiPriority w:val="0"/>
    <w:rPr>
      <w:rFonts w:ascii="Consolas" w:hAnsi="Consolas"/>
      <w:color w:val="4070A0"/>
      <w:sz w:val="22"/>
    </w:rPr>
  </w:style>
  <w:style w:type="character" w:customStyle="1" w:styleId="60">
    <w:name w:val="StringTok"/>
    <w:basedOn w:val="48"/>
    <w:qFormat/>
    <w:uiPriority w:val="0"/>
    <w:rPr>
      <w:rFonts w:ascii="Consolas" w:hAnsi="Consolas"/>
      <w:color w:val="4070A0"/>
      <w:sz w:val="22"/>
    </w:rPr>
  </w:style>
  <w:style w:type="character" w:customStyle="1" w:styleId="61">
    <w:name w:val="VerbatimStringTok"/>
    <w:basedOn w:val="48"/>
    <w:qFormat/>
    <w:uiPriority w:val="0"/>
    <w:rPr>
      <w:rFonts w:ascii="Consolas" w:hAnsi="Consolas"/>
      <w:color w:val="4070A0"/>
      <w:sz w:val="22"/>
    </w:rPr>
  </w:style>
  <w:style w:type="character" w:customStyle="1" w:styleId="62">
    <w:name w:val="SpecialStringTok"/>
    <w:basedOn w:val="48"/>
    <w:qFormat/>
    <w:uiPriority w:val="0"/>
    <w:rPr>
      <w:rFonts w:ascii="Consolas" w:hAnsi="Consolas"/>
      <w:color w:val="BB6688"/>
      <w:sz w:val="22"/>
    </w:rPr>
  </w:style>
  <w:style w:type="character" w:customStyle="1" w:styleId="63">
    <w:name w:val="ImportTok"/>
    <w:basedOn w:val="48"/>
    <w:qFormat/>
    <w:uiPriority w:val="0"/>
    <w:rPr>
      <w:rFonts w:ascii="Consolas" w:hAnsi="Consolas"/>
      <w:b/>
      <w:color w:val="008000"/>
      <w:sz w:val="22"/>
    </w:rPr>
  </w:style>
  <w:style w:type="character" w:customStyle="1" w:styleId="64">
    <w:name w:val="CommentTok"/>
    <w:basedOn w:val="48"/>
    <w:qFormat/>
    <w:uiPriority w:val="0"/>
    <w:rPr>
      <w:rFonts w:ascii="Consolas" w:hAnsi="Consolas"/>
      <w:i/>
      <w:color w:val="60A0B0"/>
      <w:sz w:val="22"/>
    </w:rPr>
  </w:style>
  <w:style w:type="character" w:customStyle="1" w:styleId="65">
    <w:name w:val="DocumentationTok"/>
    <w:basedOn w:val="48"/>
    <w:qFormat/>
    <w:uiPriority w:val="0"/>
    <w:rPr>
      <w:rFonts w:ascii="Consolas" w:hAnsi="Consolas"/>
      <w:i/>
      <w:color w:val="BA2121"/>
      <w:sz w:val="22"/>
    </w:rPr>
  </w:style>
  <w:style w:type="character" w:customStyle="1" w:styleId="66">
    <w:name w:val="AnnotationTok"/>
    <w:basedOn w:val="48"/>
    <w:qFormat/>
    <w:uiPriority w:val="0"/>
    <w:rPr>
      <w:rFonts w:ascii="Consolas" w:hAnsi="Consolas"/>
      <w:b/>
      <w:i/>
      <w:color w:val="60A0B0"/>
      <w:sz w:val="22"/>
    </w:rPr>
  </w:style>
  <w:style w:type="character" w:customStyle="1" w:styleId="67">
    <w:name w:val="CommentVarTok"/>
    <w:basedOn w:val="48"/>
    <w:qFormat/>
    <w:uiPriority w:val="0"/>
    <w:rPr>
      <w:rFonts w:ascii="Consolas" w:hAnsi="Consolas"/>
      <w:b/>
      <w:i/>
      <w:color w:val="60A0B0"/>
      <w:sz w:val="22"/>
    </w:rPr>
  </w:style>
  <w:style w:type="character" w:customStyle="1" w:styleId="68">
    <w:name w:val="OtherTok"/>
    <w:basedOn w:val="48"/>
    <w:qFormat/>
    <w:uiPriority w:val="0"/>
    <w:rPr>
      <w:rFonts w:ascii="Consolas" w:hAnsi="Consolas"/>
      <w:color w:val="007020"/>
      <w:sz w:val="22"/>
    </w:rPr>
  </w:style>
  <w:style w:type="character" w:customStyle="1" w:styleId="69">
    <w:name w:val="FunctionTok"/>
    <w:basedOn w:val="48"/>
    <w:qFormat/>
    <w:uiPriority w:val="0"/>
    <w:rPr>
      <w:rFonts w:ascii="Consolas" w:hAnsi="Consolas"/>
      <w:color w:val="06287E"/>
      <w:sz w:val="22"/>
    </w:rPr>
  </w:style>
  <w:style w:type="character" w:customStyle="1" w:styleId="70">
    <w:name w:val="VariableTok"/>
    <w:basedOn w:val="48"/>
    <w:qFormat/>
    <w:uiPriority w:val="0"/>
    <w:rPr>
      <w:rFonts w:ascii="Consolas" w:hAnsi="Consolas"/>
      <w:color w:val="19177C"/>
      <w:sz w:val="22"/>
    </w:rPr>
  </w:style>
  <w:style w:type="character" w:customStyle="1" w:styleId="71">
    <w:name w:val="ControlFlowTok"/>
    <w:basedOn w:val="48"/>
    <w:qFormat/>
    <w:uiPriority w:val="0"/>
    <w:rPr>
      <w:rFonts w:ascii="Consolas" w:hAnsi="Consolas"/>
      <w:b/>
      <w:color w:val="007020"/>
      <w:sz w:val="22"/>
    </w:rPr>
  </w:style>
  <w:style w:type="character" w:customStyle="1" w:styleId="72">
    <w:name w:val="OperatorTok"/>
    <w:basedOn w:val="48"/>
    <w:qFormat/>
    <w:uiPriority w:val="0"/>
    <w:rPr>
      <w:rFonts w:ascii="Consolas" w:hAnsi="Consolas"/>
      <w:color w:val="666666"/>
      <w:sz w:val="22"/>
    </w:rPr>
  </w:style>
  <w:style w:type="character" w:customStyle="1" w:styleId="73">
    <w:name w:val="BuiltInTok"/>
    <w:basedOn w:val="48"/>
    <w:qFormat/>
    <w:uiPriority w:val="0"/>
    <w:rPr>
      <w:rFonts w:ascii="Consolas" w:hAnsi="Consolas"/>
      <w:color w:val="008000"/>
      <w:sz w:val="22"/>
    </w:rPr>
  </w:style>
  <w:style w:type="character" w:customStyle="1" w:styleId="74">
    <w:name w:val="ExtensionTok"/>
    <w:basedOn w:val="48"/>
    <w:qFormat/>
    <w:uiPriority w:val="0"/>
    <w:rPr>
      <w:rFonts w:ascii="Consolas" w:hAnsi="Consolas"/>
      <w:sz w:val="22"/>
    </w:rPr>
  </w:style>
  <w:style w:type="character" w:customStyle="1" w:styleId="75">
    <w:name w:val="PreprocessorTok"/>
    <w:basedOn w:val="48"/>
    <w:qFormat/>
    <w:uiPriority w:val="0"/>
    <w:rPr>
      <w:rFonts w:ascii="Consolas" w:hAnsi="Consolas"/>
      <w:color w:val="BC7A00"/>
      <w:sz w:val="22"/>
    </w:rPr>
  </w:style>
  <w:style w:type="character" w:customStyle="1" w:styleId="76">
    <w:name w:val="AttributeTok"/>
    <w:basedOn w:val="48"/>
    <w:qFormat/>
    <w:uiPriority w:val="0"/>
    <w:rPr>
      <w:rFonts w:ascii="Consolas" w:hAnsi="Consolas"/>
      <w:color w:val="7D9029"/>
      <w:sz w:val="22"/>
    </w:rPr>
  </w:style>
  <w:style w:type="character" w:customStyle="1" w:styleId="77">
    <w:name w:val="RegionMarkerTok"/>
    <w:basedOn w:val="48"/>
    <w:qFormat/>
    <w:uiPriority w:val="0"/>
    <w:rPr>
      <w:rFonts w:ascii="Consolas" w:hAnsi="Consolas"/>
      <w:sz w:val="22"/>
    </w:rPr>
  </w:style>
  <w:style w:type="character" w:customStyle="1" w:styleId="78">
    <w:name w:val="InformationTok"/>
    <w:basedOn w:val="48"/>
    <w:qFormat/>
    <w:uiPriority w:val="0"/>
    <w:rPr>
      <w:rFonts w:ascii="Consolas" w:hAnsi="Consolas"/>
      <w:b/>
      <w:i/>
      <w:color w:val="60A0B0"/>
      <w:sz w:val="22"/>
    </w:rPr>
  </w:style>
  <w:style w:type="character" w:customStyle="1" w:styleId="79">
    <w:name w:val="WarningTok"/>
    <w:basedOn w:val="48"/>
    <w:qFormat/>
    <w:uiPriority w:val="0"/>
    <w:rPr>
      <w:rFonts w:ascii="Consolas" w:hAnsi="Consolas"/>
      <w:b/>
      <w:i/>
      <w:color w:val="60A0B0"/>
      <w:sz w:val="22"/>
    </w:rPr>
  </w:style>
  <w:style w:type="character" w:customStyle="1" w:styleId="80">
    <w:name w:val="AlertTok"/>
    <w:basedOn w:val="48"/>
    <w:qFormat/>
    <w:uiPriority w:val="0"/>
    <w:rPr>
      <w:rFonts w:ascii="Consolas" w:hAnsi="Consolas"/>
      <w:b/>
      <w:color w:val="FF0000"/>
      <w:sz w:val="22"/>
    </w:rPr>
  </w:style>
  <w:style w:type="character" w:customStyle="1" w:styleId="81">
    <w:name w:val="ErrorTok"/>
    <w:basedOn w:val="48"/>
    <w:qFormat/>
    <w:uiPriority w:val="0"/>
    <w:rPr>
      <w:rFonts w:ascii="Consolas" w:hAnsi="Consolas"/>
      <w:b/>
      <w:color w:val="FF0000"/>
      <w:sz w:val="22"/>
    </w:rPr>
  </w:style>
  <w:style w:type="character" w:customStyle="1" w:styleId="82">
    <w:name w:val="NormalTok"/>
    <w:basedOn w:val="48"/>
    <w:qFormat/>
    <w:uiPriority w:val="0"/>
    <w:rPr>
      <w:rFonts w:ascii="Consolas" w:hAnsi="Consolas"/>
      <w:sz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202</Words>
  <Characters>1155</Characters>
  <Lines>9</Lines>
  <Paragraphs>2</Paragraphs>
  <TotalTime>10</TotalTime>
  <ScaleCrop>false</ScaleCrop>
  <LinksUpToDate>false</LinksUpToDate>
  <CharactersWithSpaces>1355</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2026-07-11T00:05:00Z</dcterms:created>
  <dc:creator>Hollis</dc:creator>
  <cp:lastModifiedBy>Hollis</cp:lastModifiedBy>
  <dcterms:modified xsi:type="dcterms:W3CDTF">2026-09-02T00:43:54Z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186CEC267304C1A6E0EF966A856DE469_42</vt:lpwstr>
  </property>
</Properties>
</file>