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Computational Identification of Essential Genes in Single-Cell and CRISPR Data: A Review of Methods, Benchmarks, and Future Directions</w:t>
      </w:r>
    </w:p>
    <w:p>
      <w:pPr>
        <w:pStyle w:val="Author"/>
      </w:pPr>
      <w:r>
        <w:t xml:space="preserve">L. Wenting</w:t>
      </w:r>
    </w:p>
    <w:p>
      <w:pPr>
        <w:pStyle w:val="Date"/>
      </w:pPr>
      <w:r>
        <w:t xml:space="preserve">2026-08-18</w:t>
      </w:r>
    </w:p>
    <w:p>
      <w:pPr>
        <w:pStyle w:val="AbstractTitle"/>
      </w:pPr>
      <w:r>
        <w:t xml:space="preserve">Abstract</w:t>
      </w:r>
    </w:p>
    <w:p>
      <w:pPr>
        <w:pStyle w:val="Abstract"/>
      </w:pPr>
      <w:r>
        <w:t xml:space="preserve">Essential genes — genes whose disruption is incompatible with cell viability — are</w:t>
      </w:r>
      <w:r>
        <w:t xml:space="preserve"> </w:t>
      </w:r>
      <w:r>
        <w:t xml:space="preserve">central to understanding cellular fitness, cancer dependencies, and housekeeping</w:t>
      </w:r>
      <w:r>
        <w:t xml:space="preserve"> </w:t>
      </w:r>
      <w:r>
        <w:t xml:space="preserve">functions. Recent advances in single-cell RNA sequencing (scRNA-seq) and pooled</w:t>
      </w:r>
      <w:r>
        <w:t xml:space="preserve"> </w:t>
      </w:r>
      <w:r>
        <w:t xml:space="preserve">CRISPR-Cas9 screening have produced two largely separate literatures: (i)</w:t>
      </w:r>
      <w:r>
        <w:t xml:space="preserve"> </w:t>
      </w:r>
      <w:r>
        <w:t xml:space="preserve">expression-robustness methods such as scEssentials that nominate</w:t>
      </w:r>
      <w:r>
        <w:t xml:space="preserve"> </w:t>
      </w:r>
      <w:r>
        <w:t xml:space="preserve">“essential”</w:t>
      </w:r>
      <w:r>
        <w:t xml:space="preserve"> </w:t>
      </w:r>
      <w:r>
        <w:t xml:space="preserve">genes from stable, broad, high expression across cell types and platforms, and</w:t>
      </w:r>
      <w:r>
        <w:t xml:space="preserve"> </w:t>
      </w:r>
      <w:r>
        <w:t xml:space="preserve">(ii) functional-essentiality methods (DepMap, Project Score, CoRe, ADAM) that</w:t>
      </w:r>
      <w:r>
        <w:t xml:space="preserve"> </w:t>
      </w:r>
      <w:r>
        <w:t xml:space="preserve">measure the phenotypic consequence of gene knockout. This review formalises the</w:t>
      </w:r>
      <w:r>
        <w:t xml:space="preserve"> </w:t>
      </w:r>
      <w:r>
        <w:t xml:space="preserve">data requirements of each approach, surveys and benchmarks the current state of</w:t>
      </w:r>
      <w:r>
        <w:t xml:space="preserve"> </w:t>
      </w:r>
      <w:r>
        <w:t xml:space="preserve">the art — including a rapidly growing family of deep-learning predictors (DeepHE,</w:t>
      </w:r>
      <w:r>
        <w:t xml:space="preserve"> </w:t>
      </w:r>
      <w:r>
        <w:t xml:space="preserve">EPGAT, FluxGAT, LeAP, EssentialGIN, DeepHEM, DeepVul, XGEP) and scCRISPR</w:t>
      </w:r>
      <w:r>
        <w:t xml:space="preserve"> </w:t>
      </w:r>
      <w:r>
        <w:t xml:space="preserve">generative models (scLAMBDA, PerturbNet) — and critically compares the two</w:t>
      </w:r>
      <w:r>
        <w:t xml:space="preserve"> </w:t>
      </w:r>
      <w:r>
        <w:t xml:space="preserve">paradigms. We argue that the most promising direction is a supervised,</w:t>
      </w:r>
      <w:r>
        <w:t xml:space="preserve"> </w:t>
      </w:r>
      <w:r>
        <w:t xml:space="preserve">context-aware synthesis that uses functional CRISPR labels (DepMap) to learn and</w:t>
      </w:r>
      <w:r>
        <w:t xml:space="preserve"> </w:t>
      </w:r>
      <w:r>
        <w:t xml:space="preserve">reweight the expression-derived essentiality score, extended by sequence /</w:t>
      </w:r>
      <w:r>
        <w:t xml:space="preserve"> </w:t>
      </w:r>
      <w:r>
        <w:t xml:space="preserve">DNA-language-model features for unexpressed genes and cross-species transfer, and</w:t>
      </w:r>
      <w:r>
        <w:t xml:space="preserve"> </w:t>
      </w:r>
      <w:r>
        <w:t xml:space="preserve">delivered as co-essentiality modules rather than flat gene lists.</w:t>
      </w:r>
    </w:p>
    <w:bookmarkStart w:id="9" w:name="introduction"/>
    <w:p>
      <w:pPr>
        <w:pStyle w:val="Heading1"/>
      </w:pPr>
      <w:r>
        <w:t xml:space="preserve">1. Introduction</w:t>
      </w:r>
    </w:p>
    <w:p>
      <w:pPr>
        <w:pStyle w:val="FirstParagraph"/>
      </w:pPr>
      <w:r>
        <w:t xml:space="preserve">Genes whose loss is lethal or strongly impairs cell fitness are termed</w:t>
      </w:r>
      <w:r>
        <w:t xml:space="preserve"> </w:t>
      </w:r>
      <w:r>
        <w:rPr>
          <w:i/>
          <w:iCs/>
        </w:rPr>
        <w:t xml:space="preserve">essential</w:t>
      </w:r>
      <w:r>
        <w:t xml:space="preserve"> </w:t>
      </w:r>
      <w:r>
        <w:t xml:space="preserve">genes. They underpin a cell’s baseline viability, serve as reference points for</w:t>
      </w:r>
      <w:r>
        <w:t xml:space="preserve"> </w:t>
      </w:r>
      <w:r>
        <w:t xml:space="preserve">normalisation in omics assays, and, in cancer, define the concept of</w:t>
      </w:r>
      <w:r>
        <w:t xml:space="preserve"> </w:t>
      </w:r>
      <w:r>
        <w:t xml:space="preserve">“dependencies”</w:t>
      </w:r>
      <w:r>
        <w:t xml:space="preserve"> </w:t>
      </w:r>
      <w:r>
        <w:t xml:space="preserve">that are promising therapeutic targets. Historically, essentiality was defined by</w:t>
      </w:r>
      <w:r>
        <w:t xml:space="preserve"> </w:t>
      </w:r>
      <w:r>
        <w:t xml:space="preserve">conservation and single-gene deletion studies in microbes (DEG, OGEE, Keio). The</w:t>
      </w:r>
      <w:r>
        <w:t xml:space="preserve"> </w:t>
      </w:r>
      <w:r>
        <w:t xml:space="preserve">advent of single-cell transcriptomics and pooled CRISPR screens has transformed how</w:t>
      </w:r>
      <w:r>
        <w:t xml:space="preserve"> </w:t>
      </w:r>
      <w:r>
        <w:t xml:space="preserve">essentiality is measured and predicted in mammalian and complex systems.</w:t>
      </w:r>
    </w:p>
    <w:p>
      <w:pPr>
        <w:pStyle w:val="BodyText"/>
      </w:pPr>
      <w:r>
        <w:t xml:space="preserve">Two communities have evolved somewhat independently:</w:t>
      </w:r>
    </w:p>
    <w:p>
      <w:pPr>
        <w:pStyle w:val="Compact"/>
        <w:numPr>
          <w:ilvl w:val="0"/>
          <w:numId w:val="1001"/>
        </w:numPr>
      </w:pPr>
      <w:r>
        <w:rPr>
          <w:b/>
          <w:bCs/>
        </w:rPr>
        <w:t xml:space="preserve">Expression-robustness approach.</w:t>
      </w:r>
      <w:r>
        <w:t xml:space="preserve"> </w:t>
      </w:r>
      <w:r>
        <w:t xml:space="preserve">Methods such as</w:t>
      </w:r>
      <w:r>
        <w:t xml:space="preserve"> </w:t>
      </w:r>
      <w:r>
        <w:rPr>
          <w:b/>
          <w:bCs/>
        </w:rPr>
        <w:t xml:space="preserve">scEssentials</w:t>
      </w:r>
      <w:r>
        <w:t xml:space="preserve"> </w:t>
      </w:r>
      <w:r>
        <w:t xml:space="preserve">identify</w:t>
      </w:r>
      <w:r>
        <w:t xml:space="preserve"> </w:t>
      </w:r>
      <w:r>
        <w:t xml:space="preserve">genes that are</w:t>
      </w:r>
      <w:r>
        <w:t xml:space="preserve"> </w:t>
      </w:r>
      <w:r>
        <w:rPr>
          <w:i/>
          <w:iCs/>
        </w:rPr>
        <w:t xml:space="preserve">stably, broadly, and highly expressed</w:t>
      </w:r>
      <w:r>
        <w:t xml:space="preserve"> </w:t>
      </w:r>
      <w:r>
        <w:t xml:space="preserve">across cell types and</w:t>
      </w:r>
      <w:r>
        <w:t xml:space="preserve"> </w:t>
      </w:r>
      <w:r>
        <w:t xml:space="preserve">sequencing platforms. The implicit assumption is that a gene transcribed at high,</w:t>
      </w:r>
      <w:r>
        <w:t xml:space="preserve"> </w:t>
      </w:r>
      <w:r>
        <w:t xml:space="preserve">low-variance levels everywhere is essential for general cellular function (a</w:t>
      </w:r>
      <w:r>
        <w:t xml:space="preserve"> </w:t>
      </w:r>
      <w:r>
        <w:t xml:space="preserve">refined</w:t>
      </w:r>
      <w:r>
        <w:t xml:space="preserve"> </w:t>
      </w:r>
      <w:r>
        <w:t xml:space="preserve">“housekeeping”</w:t>
      </w:r>
      <w:r>
        <w:t xml:space="preserve"> </w:t>
      </w:r>
      <w:r>
        <w:t xml:space="preserve">definition tailored to single-cell data).</w:t>
      </w:r>
    </w:p>
    <w:p>
      <w:pPr>
        <w:pStyle w:val="Compact"/>
        <w:numPr>
          <w:ilvl w:val="0"/>
          <w:numId w:val="1001"/>
        </w:numPr>
      </w:pPr>
      <w:r>
        <w:rPr>
          <w:b/>
          <w:bCs/>
        </w:rPr>
        <w:t xml:space="preserve">Functional-essentiality approach.</w:t>
      </w:r>
      <w:r>
        <w:t xml:space="preserve"> </w:t>
      </w:r>
      <w:r>
        <w:t xml:space="preserve">Pooled</w:t>
      </w:r>
      <w:r>
        <w:t xml:space="preserve"> </w:t>
      </w:r>
      <w:r>
        <w:rPr>
          <w:b/>
          <w:bCs/>
        </w:rPr>
        <w:t xml:space="preserve">CRISPR-Cas9</w:t>
      </w:r>
      <w:r>
        <w:t xml:space="preserve"> </w:t>
      </w:r>
      <w:r>
        <w:t xml:space="preserve">screens directly</w:t>
      </w:r>
      <w:r>
        <w:t xml:space="preserve"> </w:t>
      </w:r>
      <w:r>
        <w:t xml:space="preserve">measure the effect of gene knockout on cell fitness, yielding per-gene</w:t>
      </w:r>
      <w:r>
        <w:t xml:space="preserve"> </w:t>
      </w:r>
      <w:r>
        <w:t xml:space="preserve">“essentiality”</w:t>
      </w:r>
      <w:r>
        <w:t xml:space="preserve"> </w:t>
      </w:r>
      <w:r>
        <w:t xml:space="preserve">or</w:t>
      </w:r>
      <w:r>
        <w:t xml:space="preserve"> </w:t>
      </w:r>
      <w:r>
        <w:t xml:space="preserve">“dependency”</w:t>
      </w:r>
      <w:r>
        <w:t xml:space="preserve"> </w:t>
      </w:r>
      <w:r>
        <w:t xml:space="preserve">scores (e.g. DepMap CERES, Project Score). This is</w:t>
      </w:r>
      <w:r>
        <w:t xml:space="preserve"> </w:t>
      </w:r>
      <w:r>
        <w:t xml:space="preserve">the operational gold standard for</w:t>
      </w:r>
      <w:r>
        <w:t xml:space="preserve"> </w:t>
      </w:r>
      <w:r>
        <w:t xml:space="preserve">“essential”</w:t>
      </w:r>
      <w:r>
        <w:t xml:space="preserve">.</w:t>
      </w:r>
    </w:p>
    <w:p>
      <w:pPr>
        <w:pStyle w:val="Compact"/>
        <w:numPr>
          <w:ilvl w:val="0"/>
          <w:numId w:val="1001"/>
        </w:numPr>
      </w:pPr>
      <w:r>
        <w:rPr>
          <w:b/>
          <w:bCs/>
        </w:rPr>
        <w:t xml:space="preserve">Predictive deep-learning approach (emergent).</w:t>
      </w:r>
      <w:r>
        <w:t xml:space="preserve"> </w:t>
      </w:r>
      <w:r>
        <w:t xml:space="preserve">A third, rapidly growing</w:t>
      </w:r>
      <w:r>
        <w:t xml:space="preserve"> </w:t>
      </w:r>
      <w:r>
        <w:t xml:space="preserve">family uses machine learning — including graph neural networks (GNNs),</w:t>
      </w:r>
      <w:r>
        <w:t xml:space="preserve"> </w:t>
      </w:r>
      <w:r>
        <w:t xml:space="preserve">transformers, and generative models — to</w:t>
      </w:r>
      <w:r>
        <w:t xml:space="preserve"> </w:t>
      </w:r>
      <w:r>
        <w:rPr>
          <w:i/>
          <w:iCs/>
        </w:rPr>
        <w:t xml:space="preserve">predict</w:t>
      </w:r>
      <w:r>
        <w:t xml:space="preserve"> </w:t>
      </w:r>
      <w:r>
        <w:t xml:space="preserve">essentiality from features</w:t>
      </w:r>
      <w:r>
        <w:t xml:space="preserve"> </w:t>
      </w:r>
      <w:r>
        <w:t xml:space="preserve">(sequence, expression, networks, multi-omics), often trained against CRISPR</w:t>
      </w:r>
      <w:r>
        <w:t xml:space="preserve"> </w:t>
      </w:r>
      <w:r>
        <w:t xml:space="preserve">labels.</w:t>
      </w:r>
    </w:p>
    <w:p>
      <w:pPr>
        <w:pStyle w:val="FirstParagraph"/>
      </w:pPr>
      <w:r>
        <w:t xml:space="preserve">The central open question — the subject of this review — is how the expression,</w:t>
      </w:r>
      <w:r>
        <w:t xml:space="preserve"> </w:t>
      </w:r>
      <w:r>
        <w:t xml:space="preserve">functional, and predictive paradigms relate, and how they can be reconciled.</w:t>
      </w:r>
    </w:p>
    <w:p>
      <w:pPr>
        <w:pStyle w:val="BodyText"/>
      </w:pPr>
      <w:r>
        <w:t xml:space="preserve">This review makes three contributions:</w:t>
      </w:r>
    </w:p>
    <w:p>
      <w:pPr>
        <w:pStyle w:val="Compact"/>
        <w:numPr>
          <w:ilvl w:val="0"/>
          <w:numId w:val="1002"/>
        </w:numPr>
      </w:pPr>
      <w:r>
        <w:rPr>
          <w:b/>
          <w:bCs/>
        </w:rPr>
        <w:t xml:space="preserve">Data requirements</w:t>
      </w:r>
      <w:r>
        <w:t xml:space="preserve"> </w:t>
      </w:r>
      <w:r>
        <w:t xml:space="preserve">— what inputs each approach needs (Section 2);</w:t>
      </w:r>
    </w:p>
    <w:p>
      <w:pPr>
        <w:pStyle w:val="Compact"/>
        <w:numPr>
          <w:ilvl w:val="0"/>
          <w:numId w:val="1002"/>
        </w:numPr>
      </w:pPr>
      <w:r>
        <w:rPr>
          <w:b/>
          <w:bCs/>
        </w:rPr>
        <w:t xml:space="preserve">State of the art and comparison</w:t>
      </w:r>
      <w:r>
        <w:t xml:space="preserve"> </w:t>
      </w:r>
      <w:r>
        <w:t xml:space="preserve">— a survey and head-to-head of current</w:t>
      </w:r>
      <w:r>
        <w:t xml:space="preserve"> </w:t>
      </w:r>
      <w:r>
        <w:t xml:space="preserve">expression-based, functional, and deep-learning methods, with strengths and</w:t>
      </w:r>
      <w:r>
        <w:t xml:space="preserve"> </w:t>
      </w:r>
      <w:r>
        <w:t xml:space="preserve">weaknesses (Sections 3–5);</w:t>
      </w:r>
    </w:p>
    <w:p>
      <w:pPr>
        <w:pStyle w:val="Compact"/>
        <w:numPr>
          <w:ilvl w:val="0"/>
          <w:numId w:val="1002"/>
        </w:numPr>
      </w:pPr>
      <w:r>
        <w:rPr>
          <w:b/>
          <w:bCs/>
        </w:rPr>
        <w:t xml:space="preserve">Future directions</w:t>
      </w:r>
      <w:r>
        <w:t xml:space="preserve"> </w:t>
      </w:r>
      <w:r>
        <w:t xml:space="preserve">— a rank-ordered agenda for the next generation of</w:t>
      </w:r>
      <w:r>
        <w:t xml:space="preserve"> </w:t>
      </w:r>
      <w:r>
        <w:t xml:space="preserve">essential-gene tools (Section 6).</w:t>
      </w:r>
    </w:p>
    <w:bookmarkEnd w:id="9"/>
    <w:bookmarkStart w:id="12" w:name="X2ee9f5b063edc40e746186d3192729388f96519"/>
    <w:p>
      <w:pPr>
        <w:pStyle w:val="Heading1"/>
      </w:pPr>
      <w:r>
        <w:t xml:space="preserve">2. Data Requirements for Essential-Gene Identification</w:t>
      </w:r>
    </w:p>
    <w:p>
      <w:pPr>
        <w:pStyle w:val="FirstParagraph"/>
      </w:pPr>
      <w:r>
        <w:t xml:space="preserve">We separate inputs into</w:t>
      </w:r>
      <w:r>
        <w:t xml:space="preserve"> </w:t>
      </w:r>
      <w:r>
        <w:rPr>
          <w:i/>
          <w:iCs/>
        </w:rPr>
        <w:t xml:space="preserve">features</w:t>
      </w:r>
      <w:r>
        <w:t xml:space="preserve"> </w:t>
      </w:r>
      <w:r>
        <w:t xml:space="preserve">(used to score or predict) and</w:t>
      </w:r>
      <w:r>
        <w:t xml:space="preserve"> </w:t>
      </w:r>
      <w:r>
        <w:rPr>
          <w:i/>
          <w:iCs/>
        </w:rPr>
        <w:t xml:space="preserve">labels</w:t>
      </w:r>
      <w:r>
        <w:t xml:space="preserve"> </w:t>
      </w:r>
      <w:r>
        <w:t xml:space="preserve">(the ground truth used to supervise or validate).</w:t>
      </w:r>
    </w:p>
    <w:bookmarkStart w:id="10" w:name="feature-data-model-input"/>
    <w:p>
      <w:pPr>
        <w:pStyle w:val="Heading2"/>
      </w:pPr>
      <w:r>
        <w:t xml:space="preserve">2.1 Feature data (model input)</w:t>
      </w:r>
    </w:p>
    <w:tbl>
      <w:tblPr>
        <w:tblStyle w:val="Table"/>
        <w:tblW w:type="pct" w:w="5000"/>
        <w:tblLayout w:type="fixed"/>
        <w:tblLook w:firstRow="1" w:lastRow="0" w:firstColumn="0" w:lastColumn="0" w:noHBand="0" w:noVBand="0" w:val="0020"/>
      </w:tblPr>
      <w:tblGrid>
        <w:gridCol w:w="1760"/>
        <w:gridCol w:w="4576"/>
        <w:gridCol w:w="1584"/>
      </w:tblGrid>
      <w:tr>
        <w:trPr>
          <w:tblHeader w:val="on"/>
        </w:trPr>
        <w:tc>
          <w:tcPr/>
          <w:p>
            <w:pPr>
              <w:pStyle w:val="Compact"/>
            </w:pPr>
            <w:r>
              <w:t xml:space="preserve">Modality</w:t>
            </w:r>
          </w:p>
        </w:tc>
        <w:tc>
          <w:tcPr/>
          <w:p>
            <w:pPr>
              <w:pStyle w:val="Compact"/>
            </w:pPr>
            <w:r>
              <w:t xml:space="preserve">Representative resources</w:t>
            </w:r>
          </w:p>
        </w:tc>
        <w:tc>
          <w:tcPr/>
          <w:p>
            <w:pPr>
              <w:pStyle w:val="Compact"/>
            </w:pPr>
            <w:r>
              <w:t xml:space="preserve">Purpose</w:t>
            </w:r>
          </w:p>
        </w:tc>
      </w:tr>
      <w:tr>
        <w:tc>
          <w:tcPr/>
          <w:p>
            <w:pPr>
              <w:pStyle w:val="Compact"/>
            </w:pPr>
            <w:r>
              <w:t xml:space="preserve">scRNA-seq expression</w:t>
            </w:r>
          </w:p>
        </w:tc>
        <w:tc>
          <w:tcPr/>
          <w:p>
            <w:pPr>
              <w:pStyle w:val="Compact"/>
            </w:pPr>
            <w:r>
              <w:t xml:space="preserve">Tabula Sapiens, Tabula Muris Senis, 10x PBMC</w:t>
            </w:r>
          </w:p>
        </w:tc>
        <w:tc>
          <w:tcPr/>
          <w:p>
            <w:pPr>
              <w:pStyle w:val="Compact"/>
            </w:pPr>
            <w:r>
              <w:t xml:space="preserve">detection rate, mean expression, CV, cell-type breadth</w:t>
            </w:r>
          </w:p>
        </w:tc>
      </w:tr>
      <w:tr>
        <w:tc>
          <w:tcPr/>
          <w:p>
            <w:pPr>
              <w:pStyle w:val="Compact"/>
            </w:pPr>
            <w:r>
              <w:t xml:space="preserve">Cross-platform expression</w:t>
            </w:r>
          </w:p>
        </w:tc>
        <w:tc>
          <w:tcPr/>
          <w:p>
            <w:pPr>
              <w:pStyle w:val="Compact"/>
            </w:pPr>
            <w:r>
              <w:t xml:space="preserve">Ziegenhain 2017 (6 platforms), Chen 2020 (7 platforms)</w:t>
            </w:r>
          </w:p>
        </w:tc>
        <w:tc>
          <w:tcPr/>
          <w:p>
            <w:pPr>
              <w:pStyle w:val="Compact"/>
            </w:pPr>
            <w:r>
              <w:t xml:space="preserve">cross-platform robustness</w:t>
            </w:r>
          </w:p>
        </w:tc>
      </w:tr>
      <w:tr>
        <w:tc>
          <w:tcPr/>
          <w:p>
            <w:pPr>
              <w:pStyle w:val="Compact"/>
            </w:pPr>
            <w:r>
              <w:t xml:space="preserve">Chromatin accessibility</w:t>
            </w:r>
          </w:p>
        </w:tc>
        <w:tc>
          <w:tcPr/>
          <w:p>
            <w:pPr>
              <w:pStyle w:val="Compact"/>
            </w:pPr>
            <w:r>
              <w:t xml:space="preserve">scATAC (Cusanovich et al.)</w:t>
            </w:r>
          </w:p>
        </w:tc>
        <w:tc>
          <w:tcPr/>
          <w:p>
            <w:pPr>
              <w:pStyle w:val="Compact"/>
            </w:pPr>
            <w:r>
              <w:t xml:space="preserve">link to open chromatin</w:t>
            </w:r>
          </w:p>
        </w:tc>
      </w:tr>
      <w:tr>
        <w:tc>
          <w:tcPr/>
          <w:p>
            <w:pPr>
              <w:pStyle w:val="Compact"/>
            </w:pPr>
            <w:r>
              <w:t xml:space="preserve">Protein–protein interaction / networks</w:t>
            </w:r>
          </w:p>
        </w:tc>
        <w:tc>
          <w:tcPr/>
          <w:p>
            <w:pPr>
              <w:pStyle w:val="Compact"/>
            </w:pPr>
            <w:r>
              <w:t xml:space="preserve">STRING, BioGRID, metabolic networks</w:t>
            </w:r>
          </w:p>
        </w:tc>
        <w:tc>
          <w:tcPr/>
          <w:p>
            <w:pPr>
              <w:pStyle w:val="Compact"/>
            </w:pPr>
            <w:r>
              <w:t xml:space="preserve">network centrality / topology features</w:t>
            </w:r>
          </w:p>
        </w:tc>
      </w:tr>
      <w:tr>
        <w:tc>
          <w:tcPr/>
          <w:p>
            <w:pPr>
              <w:pStyle w:val="Compact"/>
            </w:pPr>
            <w:r>
              <w:t xml:space="preserve">Sequence / genomic</w:t>
            </w:r>
          </w:p>
        </w:tc>
        <w:tc>
          <w:tcPr/>
          <w:p>
            <w:pPr>
              <w:pStyle w:val="Compact"/>
            </w:pPr>
            <w:r>
              <w:t xml:space="preserve">conservation, allele annotation, raw DNA</w:t>
            </w:r>
          </w:p>
        </w:tc>
        <w:tc>
          <w:tcPr/>
          <w:p>
            <w:pPr>
              <w:pStyle w:val="Compact"/>
            </w:pPr>
            <w:r>
              <w:t xml:space="preserve">cover unexpressed genes; DNA-LLM</w:t>
            </w:r>
          </w:p>
        </w:tc>
      </w:tr>
      <w:tr>
        <w:tc>
          <w:tcPr/>
          <w:p>
            <w:pPr>
              <w:pStyle w:val="Compact"/>
            </w:pPr>
            <w:r>
              <w:t xml:space="preserve">Protein language model</w:t>
            </w:r>
          </w:p>
        </w:tc>
        <w:tc>
          <w:tcPr/>
          <w:p>
            <w:pPr>
              <w:pStyle w:val="Compact"/>
            </w:pPr>
            <w:r>
              <w:t xml:space="preserve">ProteomeLM, ESM</w:t>
            </w:r>
          </w:p>
        </w:tc>
        <w:tc>
          <w:tcPr/>
          <w:p>
            <w:pPr>
              <w:pStyle w:val="Compact"/>
            </w:pPr>
            <w:r>
              <w:t xml:space="preserve">transferable, cross-species embeddings</w:t>
            </w:r>
          </w:p>
        </w:tc>
      </w:tr>
      <w:tr>
        <w:tc>
          <w:tcPr/>
          <w:p>
            <w:pPr>
              <w:pStyle w:val="Compact"/>
            </w:pPr>
            <w:r>
              <w:t xml:space="preserve">Multi-omics cancer covariates</w:t>
            </w:r>
          </w:p>
        </w:tc>
        <w:tc>
          <w:tcPr/>
          <w:p>
            <w:pPr>
              <w:pStyle w:val="Compact"/>
            </w:pPr>
            <w:r>
              <w:rPr>
                <w:b/>
                <w:bCs/>
              </w:rPr>
              <w:t xml:space="preserve">CCLE</w:t>
            </w:r>
            <w:r>
              <w:t xml:space="preserve"> </w:t>
            </w:r>
            <w:r>
              <w:t xml:space="preserve">(expression, CNV, mutation, methylation)</w:t>
            </w:r>
          </w:p>
        </w:tc>
        <w:tc>
          <w:tcPr/>
          <w:p>
            <w:pPr>
              <w:pStyle w:val="Compact"/>
            </w:pPr>
            <w:r>
              <w:t xml:space="preserve">context-specific dependency features</w:t>
            </w:r>
          </w:p>
        </w:tc>
      </w:tr>
    </w:tbl>
    <w:bookmarkEnd w:id="10"/>
    <w:bookmarkStart w:id="11" w:name="label-data-ground-truth"/>
    <w:p>
      <w:pPr>
        <w:pStyle w:val="Heading2"/>
      </w:pPr>
      <w:r>
        <w:t xml:space="preserve">2.2 Label data (ground truth)</w:t>
      </w:r>
    </w:p>
    <w:tbl>
      <w:tblPr>
        <w:tblStyle w:val="Table"/>
        <w:tblW w:type="pct" w:w="5000"/>
        <w:tblLayout w:type="fixed"/>
        <w:tblLook w:firstRow="1" w:lastRow="0" w:firstColumn="0" w:lastColumn="0" w:noHBand="0" w:noVBand="0" w:val="0020"/>
      </w:tblPr>
      <w:tblGrid>
        <w:gridCol w:w="2022"/>
        <w:gridCol w:w="4381"/>
        <w:gridCol w:w="1516"/>
      </w:tblGrid>
      <w:tr>
        <w:trPr>
          <w:tblHeader w:val="on"/>
        </w:trPr>
        <w:tc>
          <w:tcPr/>
          <w:p>
            <w:pPr>
              <w:pStyle w:val="Compact"/>
            </w:pPr>
            <w:r>
              <w:t xml:space="preserve">Label type</w:t>
            </w:r>
          </w:p>
        </w:tc>
        <w:tc>
          <w:tcPr/>
          <w:p>
            <w:pPr>
              <w:pStyle w:val="Compact"/>
            </w:pPr>
            <w:r>
              <w:t xml:space="preserve">Representative resources</w:t>
            </w:r>
          </w:p>
        </w:tc>
        <w:tc>
          <w:tcPr/>
          <w:p>
            <w:pPr>
              <w:pStyle w:val="Compact"/>
            </w:pPr>
            <w:r>
              <w:t xml:space="preserve">Purpose</w:t>
            </w:r>
          </w:p>
        </w:tc>
      </w:tr>
      <w:tr>
        <w:tc>
          <w:tcPr/>
          <w:p>
            <w:pPr>
              <w:pStyle w:val="Compact"/>
            </w:pPr>
            <w:r>
              <w:t xml:space="preserve">CRISPR essentiality</w:t>
            </w:r>
          </w:p>
        </w:tc>
        <w:tc>
          <w:tcPr/>
          <w:p>
            <w:pPr>
              <w:pStyle w:val="Compact"/>
            </w:pPr>
            <w:r>
              <w:rPr>
                <w:b/>
                <w:bCs/>
              </w:rPr>
              <w:t xml:space="preserve">DepMap CERES</w:t>
            </w:r>
            <w:r>
              <w:t xml:space="preserve"> </w:t>
            </w:r>
            <w:r>
              <w:t xml:space="preserve">(~1100 lines × 18k genes);</w:t>
            </w:r>
            <w:r>
              <w:t xml:space="preserve"> </w:t>
            </w:r>
            <w:r>
              <w:rPr>
                <w:b/>
                <w:bCs/>
              </w:rPr>
              <w:t xml:space="preserve">Project Score</w:t>
            </w:r>
            <w:r>
              <w:t xml:space="preserve"> </w:t>
            </w:r>
            <w:r>
              <w:t xml:space="preserve">(Sanger)</w:t>
            </w:r>
          </w:p>
        </w:tc>
        <w:tc>
          <w:tcPr/>
          <w:p>
            <w:pPr>
              <w:pStyle w:val="Compact"/>
            </w:pPr>
            <w:r>
              <w:t xml:space="preserve">functional gold-standard score</w:t>
            </w:r>
          </w:p>
        </w:tc>
      </w:tr>
      <w:tr>
        <w:tc>
          <w:tcPr/>
          <w:p>
            <w:pPr>
              <w:pStyle w:val="Compact"/>
            </w:pPr>
            <w:r>
              <w:t xml:space="preserve">Core-fitness / true-essential sets</w:t>
            </w:r>
          </w:p>
        </w:tc>
        <w:tc>
          <w:tcPr/>
          <w:p>
            <w:pPr>
              <w:pStyle w:val="Compact"/>
            </w:pPr>
            <w:r>
              <w:t xml:space="preserve">DepMap-Analytics/CoRe;</w:t>
            </w:r>
            <w:r>
              <w:t xml:space="preserve"> </w:t>
            </w:r>
            <w:r>
              <w:rPr>
                <w:b/>
                <w:bCs/>
              </w:rPr>
              <w:t xml:space="preserve">Hart/BEAN</w:t>
            </w:r>
            <w:r>
              <w:t xml:space="preserve"> </w:t>
            </w:r>
            <w:r>
              <w:t xml:space="preserve">curated</w:t>
            </w:r>
            <w:r>
              <w:t xml:space="preserve"> </w:t>
            </w:r>
            <w:r>
              <w:t xml:space="preserve">“true”</w:t>
            </w:r>
            <w:r>
              <w:t xml:space="preserve"> </w:t>
            </w:r>
            <w:r>
              <w:t xml:space="preserve">essential gene lists</w:t>
            </w:r>
          </w:p>
        </w:tc>
        <w:tc>
          <w:tcPr/>
          <w:p>
            <w:pPr>
              <w:pStyle w:val="Compact"/>
            </w:pPr>
            <w:r>
              <w:t xml:space="preserve">core/common-essential positives</w:t>
            </w:r>
          </w:p>
        </w:tc>
      </w:tr>
      <w:tr>
        <w:tc>
          <w:tcPr/>
          <w:p>
            <w:pPr>
              <w:pStyle w:val="Compact"/>
            </w:pPr>
            <w:r>
              <w:t xml:space="preserve">Context-specific essentiality</w:t>
            </w:r>
          </w:p>
        </w:tc>
        <w:tc>
          <w:tcPr/>
          <w:p>
            <w:pPr>
              <w:pStyle w:val="Compact"/>
            </w:pPr>
            <w:r>
              <w:rPr>
                <w:b/>
                <w:bCs/>
              </w:rPr>
              <w:t xml:space="preserve">ADAM / ADAM2</w:t>
            </w:r>
          </w:p>
        </w:tc>
        <w:tc>
          <w:tcPr/>
          <w:p>
            <w:pPr>
              <w:pStyle w:val="Compact"/>
            </w:pPr>
            <w:r>
              <w:t xml:space="preserve">core vs. context distinction</w:t>
            </w:r>
          </w:p>
        </w:tc>
      </w:tr>
      <w:tr>
        <w:tc>
          <w:tcPr/>
          <w:p>
            <w:pPr>
              <w:pStyle w:val="Compact"/>
            </w:pPr>
            <w:r>
              <w:t xml:space="preserve">RNAi cross-validation</w:t>
            </w:r>
          </w:p>
        </w:tc>
        <w:tc>
          <w:tcPr/>
          <w:p>
            <w:pPr>
              <w:pStyle w:val="Compact"/>
            </w:pPr>
            <w:r>
              <w:rPr>
                <w:b/>
                <w:bCs/>
              </w:rPr>
              <w:t xml:space="preserve">DRIVE</w:t>
            </w:r>
            <w:r>
              <w:t xml:space="preserve">,</w:t>
            </w:r>
            <w:r>
              <w:t xml:space="preserve"> </w:t>
            </w:r>
            <w:r>
              <w:rPr>
                <w:b/>
                <w:bCs/>
              </w:rPr>
              <w:t xml:space="preserve">Achilles RNAi</w:t>
            </w:r>
            <w:r>
              <w:t xml:space="preserve">,</w:t>
            </w:r>
            <w:r>
              <w:t xml:space="preserve"> </w:t>
            </w:r>
            <w:r>
              <w:rPr>
                <w:b/>
                <w:bCs/>
              </w:rPr>
              <w:t xml:space="preserve">GenomeRNAi</w:t>
            </w:r>
          </w:p>
        </w:tc>
        <w:tc>
          <w:tcPr/>
          <w:p>
            <w:pPr>
              <w:pStyle w:val="Compact"/>
            </w:pPr>
            <w:r>
              <w:t xml:space="preserve">cross-platform agreement</w:t>
            </w:r>
          </w:p>
        </w:tc>
      </w:tr>
      <w:tr>
        <w:tc>
          <w:tcPr/>
          <w:p>
            <w:pPr>
              <w:pStyle w:val="Compact"/>
            </w:pPr>
            <w:r>
              <w:t xml:space="preserve">Microbial essentiality</w:t>
            </w:r>
          </w:p>
        </w:tc>
        <w:tc>
          <w:tcPr/>
          <w:p>
            <w:pPr>
              <w:pStyle w:val="Compact"/>
            </w:pPr>
            <w:r>
              <w:rPr>
                <w:b/>
                <w:bCs/>
              </w:rPr>
              <w:t xml:space="preserve">Keio</w:t>
            </w:r>
            <w:r>
              <w:t xml:space="preserve"> </w:t>
            </w:r>
            <w:r>
              <w:t xml:space="preserve">(</w:t>
            </w:r>
            <w:r>
              <w:rPr>
                <w:i/>
                <w:iCs/>
              </w:rPr>
              <w:t xml:space="preserve">E. coli</w:t>
            </w:r>
            <w:r>
              <w:t xml:space="preserve">), DEG, OGEE</w:t>
            </w:r>
          </w:p>
        </w:tc>
        <w:tc>
          <w:tcPr/>
          <w:p>
            <w:pPr>
              <w:pStyle w:val="Compact"/>
            </w:pPr>
            <w:r>
              <w:t xml:space="preserve">species-transfer validation</w:t>
            </w:r>
          </w:p>
        </w:tc>
      </w:tr>
      <w:tr>
        <w:tc>
          <w:tcPr/>
          <w:p>
            <w:pPr>
              <w:pStyle w:val="Compact"/>
            </w:pPr>
            <w:r>
              <w:t xml:space="preserve">Essential-gene catalogs</w:t>
            </w:r>
          </w:p>
        </w:tc>
        <w:tc>
          <w:tcPr/>
          <w:p>
            <w:pPr>
              <w:pStyle w:val="Compact"/>
            </w:pPr>
            <w:r>
              <w:t xml:space="preserve">DEG, OGEE</w:t>
            </w:r>
          </w:p>
        </w:tc>
        <w:tc>
          <w:tcPr/>
          <w:p>
            <w:pPr>
              <w:pStyle w:val="Compact"/>
            </w:pPr>
            <w:r>
              <w:t xml:space="preserve">cross-species validation</w:t>
            </w:r>
          </w:p>
        </w:tc>
      </w:tr>
      <w:tr>
        <w:tc>
          <w:tcPr/>
          <w:p>
            <w:pPr>
              <w:pStyle w:val="Compact"/>
            </w:pPr>
            <w:r>
              <w:t xml:space="preserve">Housekeeping catalogs</w:t>
            </w:r>
          </w:p>
        </w:tc>
        <w:tc>
          <w:tcPr/>
          <w:p>
            <w:pPr>
              <w:pStyle w:val="Compact"/>
            </w:pPr>
            <w:r>
              <w:t xml:space="preserve">Hounkpe, Eisenberg–Levanon, PanglaoDB</w:t>
            </w:r>
          </w:p>
        </w:tc>
        <w:tc>
          <w:tcPr/>
          <w:p>
            <w:pPr>
              <w:pStyle w:val="Compact"/>
            </w:pPr>
            <w:r>
              <w:t xml:space="preserve">overlap / discordance analysis</w:t>
            </w:r>
          </w:p>
        </w:tc>
      </w:tr>
    </w:tbl>
    <w:p>
      <w:pPr>
        <w:pStyle w:val="BlockText"/>
      </w:pPr>
      <w:r>
        <w:rPr>
          <w:b/>
          <w:bCs/>
        </w:rPr>
        <w:t xml:space="preserve">Key point.</w:t>
      </w:r>
      <w:r>
        <w:t xml:space="preserve"> </w:t>
      </w:r>
      <w:r>
        <w:t xml:space="preserve">scEssentials currently uses only expression features (no labels).</w:t>
      </w:r>
      <w:r>
        <w:t xml:space="preserve"> </w:t>
      </w:r>
      <w:r>
        <w:t xml:space="preserve">The most direct route to a</w:t>
      </w:r>
      <w:r>
        <w:t xml:space="preserve"> </w:t>
      </w:r>
      <w:r>
        <w:rPr>
          <w:i/>
          <w:iCs/>
        </w:rPr>
        <w:t xml:space="preserve">better</w:t>
      </w:r>
      <w:r>
        <w:t xml:space="preserve"> </w:t>
      </w:r>
      <w:r>
        <w:t xml:space="preserve">model is to introduce functional labels</w:t>
      </w:r>
      <w:r>
        <w:t xml:space="preserve"> </w:t>
      </w:r>
      <w:r>
        <w:t xml:space="preserve">(DepMap / Project Score) as a supervision signal to</w:t>
      </w:r>
      <w:r>
        <w:t xml:space="preserve"> </w:t>
      </w:r>
      <w:r>
        <w:rPr>
          <w:i/>
          <w:iCs/>
        </w:rPr>
        <w:t xml:space="preserve">learn</w:t>
      </w:r>
      <w:r>
        <w:t xml:space="preserve"> </w:t>
      </w:r>
      <w:r>
        <w:t xml:space="preserve">the expression-derived</w:t>
      </w:r>
      <w:r>
        <w:t xml:space="preserve"> </w:t>
      </w:r>
      <w:r>
        <w:t xml:space="preserve">score.</w:t>
      </w:r>
    </w:p>
    <w:bookmarkEnd w:id="11"/>
    <w:bookmarkEnd w:id="12"/>
    <w:bookmarkStart w:id="18" w:name="state-of-the-art-method-survey"/>
    <w:p>
      <w:pPr>
        <w:pStyle w:val="Heading1"/>
      </w:pPr>
      <w:r>
        <w:t xml:space="preserve">3. State of the Art: Method Survey</w:t>
      </w:r>
    </w:p>
    <w:bookmarkStart w:id="13" w:name="expression-robustness-methods"/>
    <w:p>
      <w:pPr>
        <w:pStyle w:val="Heading2"/>
      </w:pPr>
      <w:r>
        <w:t xml:space="preserve">3.1 Expression-robustness methods</w:t>
      </w:r>
    </w:p>
    <w:p>
      <w:pPr>
        <w:pStyle w:val="FirstParagraph"/>
      </w:pPr>
      <w:r>
        <w:rPr>
          <w:b/>
          <w:bCs/>
        </w:rPr>
        <w:t xml:space="preserve">scEssentials</w:t>
      </w:r>
      <w:r>
        <w:t xml:space="preserve"> </w:t>
      </w:r>
      <w:r>
        <w:t xml:space="preserve">(huiwenzh/scEssentials). Defines a reference set of genes stably</w:t>
      </w:r>
      <w:r>
        <w:t xml:space="preserve"> </w:t>
      </w:r>
      <w:r>
        <w:t xml:space="preserve">and highly expressed across &gt;60 cell types and 10+ sequencing platforms. Score is</w:t>
      </w:r>
      <w:r>
        <w:t xml:space="preserve"> </w:t>
      </w:r>
      <w:r>
        <w:rPr>
          <w:rStyle w:val="VerbatimChar"/>
        </w:rPr>
        <w:t xml:space="preserve">ESS ≈ detection · expression-rank · stability</w:t>
      </w:r>
      <w:r>
        <w:t xml:space="preserve">. Directly runnable on new data (the</w:t>
      </w:r>
      <w:r>
        <w:t xml:space="preserve"> </w:t>
      </w:r>
      <w:r>
        <w:t xml:space="preserve">accompanying implementation</w:t>
      </w:r>
      <w:r>
        <w:t xml:space="preserve"> </w:t>
      </w:r>
      <w:r>
        <w:rPr>
          <w:rStyle w:val="VerbatimChar"/>
        </w:rPr>
        <w:t xml:space="preserve">scessentials.py</w:t>
      </w:r>
      <w:r>
        <w:t xml:space="preserve">).</w:t>
      </w:r>
      <w:r>
        <w:t xml:space="preserve"> </w:t>
      </w:r>
      <w:r>
        <w:rPr>
          <w:b/>
          <w:bCs/>
        </w:rPr>
        <w:t xml:space="preserve">scRoGG</w:t>
      </w:r>
      <w:r>
        <w:t xml:space="preserve"> </w:t>
      </w:r>
      <w:r>
        <w:t xml:space="preserve">(huiwenzh/scRoGG) reuses</w:t>
      </w:r>
      <w:r>
        <w:t xml:space="preserve"> </w:t>
      </w:r>
      <w:r>
        <w:t xml:space="preserve">this set as an anchor for robust co-expression networks.</w:t>
      </w:r>
    </w:p>
    <w:bookmarkEnd w:id="13"/>
    <w:bookmarkStart w:id="14" w:name="functional-essentiality-methods"/>
    <w:p>
      <w:pPr>
        <w:pStyle w:val="Heading2"/>
      </w:pPr>
      <w:r>
        <w:t xml:space="preserve">3.2 Functional-essentiality methods</w:t>
      </w:r>
    </w:p>
    <w:p>
      <w:pPr>
        <w:pStyle w:val="FirstParagraph"/>
      </w:pPr>
      <w:r>
        <w:rPr>
          <w:b/>
          <w:bCs/>
        </w:rPr>
        <w:t xml:space="preserve">DepMap / CERES.</w:t>
      </w:r>
      <w:r>
        <w:t xml:space="preserve"> </w:t>
      </w:r>
      <w:r>
        <w:t xml:space="preserve">Genome-wide CRISPR-Cas9 dependency scores across ~1100 cancer</w:t>
      </w:r>
      <w:r>
        <w:t xml:space="preserve"> </w:t>
      </w:r>
      <w:r>
        <w:t xml:space="preserve">cell lines (Tsherniak 2017; Dempster/Achilles 2019). The reference label set.</w:t>
      </w:r>
      <w:r>
        <w:t xml:space="preserve"> </w:t>
      </w:r>
      <w:r>
        <w:rPr>
          <w:b/>
          <w:bCs/>
        </w:rPr>
        <w:t xml:space="preserve">Project Score</w:t>
      </w:r>
      <w:r>
        <w:t xml:space="preserve"> </w:t>
      </w:r>
      <w:r>
        <w:t xml:space="preserve">(Sanger, ~300+ lines; Dwane 2020; Behan 2019</w:t>
      </w:r>
      <w:r>
        <w:t xml:space="preserve"> </w:t>
      </w:r>
      <w:r>
        <w:rPr>
          <w:i/>
          <w:iCs/>
        </w:rPr>
        <w:t xml:space="preserve">Nature</w:t>
      </w:r>
      <w:r>
        <w:t xml:space="preserve">) provides an</w:t>
      </w:r>
      <w:r>
        <w:t xml:space="preserve"> </w:t>
      </w:r>
      <w:r>
        <w:t xml:space="preserve">independent dependency resource for therapeutic-target prioritisation.</w:t>
      </w:r>
      <w:r>
        <w:t xml:space="preserve"> </w:t>
      </w:r>
      <w:r>
        <w:rPr>
          <w:b/>
          <w:bCs/>
        </w:rPr>
        <w:t xml:space="preserve">CoRe</w:t>
      </w:r>
      <w:r>
        <w:t xml:space="preserve"> </w:t>
      </w:r>
      <w:r>
        <w:t xml:space="preserve">(DepMap-Analytics/CoRe) integrates multiple screens to define core-fitness and</w:t>
      </w:r>
      <w:r>
        <w:t xml:space="preserve"> </w:t>
      </w:r>
      <w:r>
        <w:t xml:space="preserve">common-essential genes.</w:t>
      </w:r>
      <w:r>
        <w:t xml:space="preserve"> </w:t>
      </w:r>
      <w:r>
        <w:rPr>
          <w:b/>
          <w:bCs/>
        </w:rPr>
        <w:t xml:space="preserve">ADAM / ADAM2</w:t>
      </w:r>
      <w:r>
        <w:t xml:space="preserve"> </w:t>
      </w:r>
      <w:r>
        <w:t xml:space="preserve">(francescojm/ADAM) classify genes as</w:t>
      </w:r>
      <w:r>
        <w:t xml:space="preserve"> </w:t>
      </w:r>
      <w:r>
        <w:t xml:space="preserve">core-fitness (essential everywhere) versus context-specific.</w:t>
      </w:r>
      <w:r>
        <w:t xml:space="preserve"> </w:t>
      </w:r>
      <w:r>
        <w:rPr>
          <w:b/>
          <w:bCs/>
        </w:rPr>
        <w:t xml:space="preserve">MAGeCK</w:t>
      </w:r>
      <w:r>
        <w:t xml:space="preserve"> </w:t>
      </w:r>
      <w:r>
        <w:t xml:space="preserve">(liulab-dfci/MAGeCK) is the upstream tool that turns raw screen FASTQs into</w:t>
      </w:r>
      <w:r>
        <w:t xml:space="preserve"> </w:t>
      </w:r>
      <w:r>
        <w:t xml:space="preserve">essentiality calls. Population-fitness models</w:t>
      </w:r>
      <w:r>
        <w:t xml:space="preserve"> </w:t>
      </w:r>
      <w:r>
        <w:rPr>
          <w:b/>
          <w:bCs/>
        </w:rPr>
        <w:t xml:space="preserve">Chronos</w:t>
      </w:r>
      <w:r>
        <w:t xml:space="preserve"> </w:t>
      </w:r>
      <w:r>
        <w:t xml:space="preserve">(Dempster 2021) and</w:t>
      </w:r>
      <w:r>
        <w:t xml:space="preserve"> </w:t>
      </w:r>
      <w:r>
        <w:rPr>
          <w:b/>
          <w:bCs/>
        </w:rPr>
        <w:t xml:space="preserve">ACE</w:t>
      </w:r>
      <w:r>
        <w:t xml:space="preserve"> </w:t>
      </w:r>
      <w:r>
        <w:t xml:space="preserve">(Hutton 2021) improve gene-fitness inference from CRISPR data.</w:t>
      </w:r>
    </w:p>
    <w:bookmarkEnd w:id="14"/>
    <w:bookmarkStart w:id="15" w:name="deep-learning-predictors"/>
    <w:p>
      <w:pPr>
        <w:pStyle w:val="Heading2"/>
      </w:pPr>
      <w:r>
        <w:t xml:space="preserve">3.3 Deep-learning predictors</w:t>
      </w:r>
    </w:p>
    <w:tbl>
      <w:tblPr>
        <w:tblStyle w:val="Table"/>
        <w:tblW w:type="pct" w:w="5000"/>
        <w:tblLayout w:type="fixed"/>
        <w:tblLook w:firstRow="1" w:lastRow="0" w:firstColumn="0" w:lastColumn="0" w:noHBand="0" w:noVBand="0" w:val="0020"/>
      </w:tblPr>
      <w:tblGrid>
        <w:gridCol w:w="1131"/>
        <w:gridCol w:w="1131"/>
        <w:gridCol w:w="3771"/>
        <w:gridCol w:w="1885"/>
      </w:tblGrid>
      <w:tr>
        <w:trPr>
          <w:tblHeader w:val="on"/>
        </w:trPr>
        <w:tc>
          <w:tcPr/>
          <w:p>
            <w:pPr>
              <w:pStyle w:val="Compact"/>
            </w:pPr>
            <w:r>
              <w:t xml:space="preserve">Tool</w:t>
            </w:r>
          </w:p>
        </w:tc>
        <w:tc>
          <w:tcPr/>
          <w:p>
            <w:pPr>
              <w:pStyle w:val="Compact"/>
            </w:pPr>
            <w:r>
              <w:t xml:space="preserve">Year</w:t>
            </w:r>
          </w:p>
        </w:tc>
        <w:tc>
          <w:tcPr/>
          <w:p>
            <w:pPr>
              <w:pStyle w:val="Compact"/>
            </w:pPr>
            <w:r>
              <w:t xml:space="preserve">Repository / arXiv</w:t>
            </w:r>
          </w:p>
        </w:tc>
        <w:tc>
          <w:tcPr/>
          <w:p>
            <w:pPr>
              <w:pStyle w:val="Compact"/>
            </w:pPr>
            <w:r>
              <w:t xml:space="preserve">Approach</w:t>
            </w:r>
          </w:p>
        </w:tc>
      </w:tr>
      <w:tr>
        <w:tc>
          <w:tcPr/>
          <w:p>
            <w:pPr>
              <w:pStyle w:val="Compact"/>
            </w:pPr>
            <w:r>
              <w:t xml:space="preserve">DeepHE / DeepSF</w:t>
            </w:r>
          </w:p>
        </w:tc>
        <w:tc>
          <w:tcPr/>
          <w:p>
            <w:pPr>
              <w:pStyle w:val="Compact"/>
            </w:pPr>
            <w:r>
              <w:t xml:space="preserve">2021</w:t>
            </w:r>
          </w:p>
        </w:tc>
        <w:tc>
          <w:tcPr/>
          <w:p>
            <w:pPr>
              <w:pStyle w:val="Compact"/>
            </w:pPr>
            <w:r>
              <w:t xml:space="preserve">xzhang2016/DeepHE</w:t>
            </w:r>
          </w:p>
        </w:tc>
        <w:tc>
          <w:tcPr/>
          <w:p>
            <w:pPr>
              <w:pStyle w:val="Compact"/>
            </w:pPr>
            <w:r>
              <w:t xml:space="preserve">DNN over sequence/expression/network features</w:t>
            </w:r>
          </w:p>
        </w:tc>
      </w:tr>
      <w:tr>
        <w:tc>
          <w:tcPr/>
          <w:p>
            <w:pPr>
              <w:pStyle w:val="Compact"/>
            </w:pPr>
            <w:r>
              <w:t xml:space="preserve">EPGAT</w:t>
            </w:r>
          </w:p>
        </w:tc>
        <w:tc>
          <w:tcPr/>
          <w:p>
            <w:pPr>
              <w:pStyle w:val="Compact"/>
            </w:pPr>
            <w:r>
              <w:t xml:space="preserve">2020</w:t>
            </w:r>
          </w:p>
        </w:tc>
        <w:tc>
          <w:tcPr/>
          <w:p>
            <w:pPr>
              <w:pStyle w:val="Compact"/>
            </w:pPr>
            <w:r>
              <w:t xml:space="preserve">arXiv:2007.09671</w:t>
            </w:r>
          </w:p>
        </w:tc>
        <w:tc>
          <w:tcPr/>
          <w:p>
            <w:pPr>
              <w:pStyle w:val="Compact"/>
            </w:pPr>
            <w:r>
              <w:t xml:space="preserve">graph attention over PPI networks</w:t>
            </w:r>
          </w:p>
        </w:tc>
      </w:tr>
      <w:tr>
        <w:tc>
          <w:tcPr/>
          <w:p>
            <w:pPr>
              <w:pStyle w:val="Compact"/>
            </w:pPr>
            <w:r>
              <w:t xml:space="preserve">FluxGAT</w:t>
            </w:r>
          </w:p>
        </w:tc>
        <w:tc>
          <w:tcPr/>
          <w:p>
            <w:pPr>
              <w:pStyle w:val="Compact"/>
            </w:pPr>
            <w:r>
              <w:t xml:space="preserve">2024</w:t>
            </w:r>
          </w:p>
        </w:tc>
        <w:tc>
          <w:tcPr/>
          <w:p>
            <w:pPr>
              <w:pStyle w:val="Compact"/>
            </w:pPr>
            <w:r>
              <w:t xml:space="preserve">arXiv:2403.18666</w:t>
            </w:r>
          </w:p>
        </w:tc>
        <w:tc>
          <w:tcPr/>
          <w:p>
            <w:pPr>
              <w:pStyle w:val="Compact"/>
            </w:pPr>
            <w:r>
              <w:t xml:space="preserve">flux-sampling + graph attention on metabolic networks</w:t>
            </w:r>
          </w:p>
        </w:tc>
      </w:tr>
      <w:tr>
        <w:tc>
          <w:tcPr/>
          <w:p>
            <w:pPr>
              <w:pStyle w:val="Compact"/>
            </w:pPr>
            <w:r>
              <w:t xml:space="preserve">DeepHEN</w:t>
            </w:r>
          </w:p>
        </w:tc>
        <w:tc>
          <w:tcPr/>
          <w:p>
            <w:pPr>
              <w:pStyle w:val="Compact"/>
            </w:pPr>
            <w:r>
              <w:t xml:space="preserve">2023</w:t>
            </w:r>
          </w:p>
        </w:tc>
        <w:tc>
          <w:tcPr/>
          <w:p>
            <w:pPr>
              <w:pStyle w:val="Compact"/>
            </w:pPr>
            <w:r>
              <w:t xml:space="preserve">arXiv:2309.10008</w:t>
            </w:r>
          </w:p>
        </w:tc>
        <w:tc>
          <w:tcPr/>
          <w:p>
            <w:pPr>
              <w:pStyle w:val="Compact"/>
            </w:pPr>
            <w:r>
              <w:t xml:space="preserve">deep model for essential</w:t>
            </w:r>
            <w:r>
              <w:t xml:space="preserve"> </w:t>
            </w:r>
            <w:r>
              <w:rPr>
                <w:b/>
                <w:bCs/>
              </w:rPr>
              <w:t xml:space="preserve">lncRNA</w:t>
            </w:r>
            <w:r>
              <w:t xml:space="preserve"> </w:t>
            </w:r>
            <w:r>
              <w:t xml:space="preserve">genes</w:t>
            </w:r>
          </w:p>
        </w:tc>
      </w:tr>
      <w:tr>
        <w:tc>
          <w:tcPr/>
          <w:p>
            <w:pPr>
              <w:pStyle w:val="Compact"/>
            </w:pPr>
            <w:r>
              <w:t xml:space="preserve">LeAP</w:t>
            </w:r>
          </w:p>
        </w:tc>
        <w:tc>
          <w:tcPr/>
          <w:p>
            <w:pPr>
              <w:pStyle w:val="Compact"/>
            </w:pPr>
            <w:r>
              <w:t xml:space="preserve">2025</w:t>
            </w:r>
          </w:p>
        </w:tc>
        <w:tc>
          <w:tcPr/>
          <w:p>
            <w:pPr>
              <w:pStyle w:val="Compact"/>
            </w:pPr>
            <w:r>
              <w:t xml:space="preserve">arXiv:2502.15646</w:t>
            </w:r>
          </w:p>
        </w:tc>
        <w:tc>
          <w:tcPr/>
          <w:p>
            <w:pPr>
              <w:pStyle w:val="Compact"/>
            </w:pPr>
            <w:r>
              <w:t xml:space="preserve">layered ensemble of autoencoders + predictors</w:t>
            </w:r>
          </w:p>
        </w:tc>
      </w:tr>
      <w:tr>
        <w:tc>
          <w:tcPr/>
          <w:p>
            <w:pPr>
              <w:pStyle w:val="Compact"/>
            </w:pPr>
            <w:r>
              <w:t xml:space="preserve">Topology-ML (metabolism)</w:t>
            </w:r>
          </w:p>
        </w:tc>
        <w:tc>
          <w:tcPr/>
          <w:p>
            <w:pPr>
              <w:pStyle w:val="Compact"/>
            </w:pPr>
            <w:r>
              <w:t xml:space="preserve">2025</w:t>
            </w:r>
          </w:p>
        </w:tc>
        <w:tc>
          <w:tcPr/>
          <w:p>
            <w:pPr>
              <w:pStyle w:val="Compact"/>
            </w:pPr>
            <w:r>
              <w:t xml:space="preserve">arXiv:2507.20406</w:t>
            </w:r>
          </w:p>
        </w:tc>
        <w:tc>
          <w:tcPr/>
          <w:p>
            <w:pPr>
              <w:pStyle w:val="Compact"/>
            </w:pPr>
            <w:r>
              <w:t xml:space="preserve">graph-topological features beat FBA</w:t>
            </w:r>
          </w:p>
        </w:tc>
      </w:tr>
      <w:tr>
        <w:tc>
          <w:tcPr/>
          <w:p>
            <w:pPr>
              <w:pStyle w:val="Compact"/>
            </w:pPr>
            <w:r>
              <w:t xml:space="preserve">Multiplex-network DL</w:t>
            </w:r>
          </w:p>
        </w:tc>
        <w:tc>
          <w:tcPr/>
          <w:p>
            <w:pPr>
              <w:pStyle w:val="Compact"/>
            </w:pPr>
            <w:r>
              <w:t xml:space="preserve">2024</w:t>
            </w:r>
          </w:p>
        </w:tc>
        <w:tc>
          <w:tcPr/>
          <w:p>
            <w:pPr>
              <w:pStyle w:val="Compact"/>
            </w:pPr>
            <w:r>
              <w:t xml:space="preserve">arXiv:2403.02724</w:t>
            </w:r>
          </w:p>
        </w:tc>
        <w:tc>
          <w:tcPr/>
          <w:p>
            <w:pPr>
              <w:pStyle w:val="Compact"/>
            </w:pPr>
            <w:r>
              <w:t xml:space="preserve">predicting perturbation outcomes from multiplex networks</w:t>
            </w:r>
          </w:p>
        </w:tc>
      </w:tr>
      <w:tr>
        <w:tc>
          <w:tcPr/>
          <w:p>
            <w:pPr>
              <w:pStyle w:val="Compact"/>
            </w:pPr>
            <w:r>
              <w:t xml:space="preserve">Explainable DL (PPI)</w:t>
            </w:r>
          </w:p>
        </w:tc>
        <w:tc>
          <w:tcPr/>
          <w:p>
            <w:pPr>
              <w:pStyle w:val="Compact"/>
            </w:pPr>
            <w:r>
              <w:t xml:space="preserve">2025</w:t>
            </w:r>
          </w:p>
        </w:tc>
        <w:tc>
          <w:tcPr/>
          <w:p>
            <w:pPr>
              <w:pStyle w:val="Compact"/>
            </w:pPr>
            <w:r>
              <w:t xml:space="preserve">arXiv:2511.12463</w:t>
            </w:r>
          </w:p>
        </w:tc>
        <w:tc>
          <w:tcPr/>
          <w:p>
            <w:pPr>
              <w:pStyle w:val="Compact"/>
            </w:pPr>
            <w:r>
              <w:t xml:space="preserve">centrality + node embeddings for target prioritisation</w:t>
            </w:r>
          </w:p>
        </w:tc>
      </w:tr>
      <w:tr>
        <w:tc>
          <w:tcPr/>
          <w:p>
            <w:pPr>
              <w:pStyle w:val="Compact"/>
            </w:pPr>
            <w:r>
              <w:t xml:space="preserve">EssentialGIN</w:t>
            </w:r>
          </w:p>
        </w:tc>
        <w:tc>
          <w:tcPr/>
          <w:p>
            <w:pPr>
              <w:pStyle w:val="Compact"/>
            </w:pPr>
            <w:r>
              <w:t xml:space="preserve">2026</w:t>
            </w:r>
          </w:p>
        </w:tc>
        <w:tc>
          <w:tcPr/>
          <w:p>
            <w:pPr>
              <w:pStyle w:val="Compact"/>
            </w:pPr>
            <w:r>
              <w:t xml:space="preserve">arXiv:2606.07700</w:t>
            </w:r>
          </w:p>
        </w:tc>
        <w:tc>
          <w:tcPr/>
          <w:p>
            <w:pPr>
              <w:pStyle w:val="Compact"/>
            </w:pPr>
            <w:r>
              <w:t xml:space="preserve">graph isomorphism NN</w:t>
            </w:r>
          </w:p>
        </w:tc>
      </w:tr>
      <w:tr>
        <w:tc>
          <w:tcPr/>
          <w:p>
            <w:pPr>
              <w:pStyle w:val="Compact"/>
            </w:pPr>
            <w:r>
              <w:t xml:space="preserve">DeepHEM</w:t>
            </w:r>
          </w:p>
        </w:tc>
        <w:tc>
          <w:tcPr/>
          <w:p>
            <w:pPr>
              <w:pStyle w:val="Compact"/>
            </w:pPr>
            <w:r>
              <w:t xml:space="preserve">2025</w:t>
            </w:r>
          </w:p>
        </w:tc>
        <w:tc>
          <w:tcPr/>
          <w:p>
            <w:pPr>
              <w:pStyle w:val="Compact"/>
            </w:pPr>
            <w:r>
              <w:t xml:space="preserve">Mol Ther</w:t>
            </w:r>
          </w:p>
        </w:tc>
        <w:tc>
          <w:tcPr/>
          <w:p>
            <w:pPr>
              <w:pStyle w:val="Compact"/>
            </w:pPr>
            <w:r>
              <w:t xml:space="preserve">domain-adversarial learning, human essentials</w:t>
            </w:r>
          </w:p>
        </w:tc>
      </w:tr>
      <w:tr>
        <w:tc>
          <w:tcPr/>
          <w:p>
            <w:pPr>
              <w:pStyle w:val="Compact"/>
            </w:pPr>
            <w:r>
              <w:t xml:space="preserve">DeEPsnap</w:t>
            </w:r>
          </w:p>
        </w:tc>
        <w:tc>
          <w:tcPr/>
          <w:p>
            <w:pPr>
              <w:pStyle w:val="Compact"/>
            </w:pPr>
            <w:r>
              <w:t xml:space="preserve">2024</w:t>
            </w:r>
          </w:p>
        </w:tc>
        <w:tc>
          <w:tcPr/>
          <w:p>
            <w:pPr>
              <w:pStyle w:val="Compact"/>
            </w:pPr>
            <w:r>
              <w:t xml:space="preserve">preprint</w:t>
            </w:r>
          </w:p>
        </w:tc>
        <w:tc>
          <w:tcPr/>
          <w:p>
            <w:pPr>
              <w:pStyle w:val="Compact"/>
            </w:pPr>
            <w:r>
              <w:t xml:space="preserve">multi-omics integration</w:t>
            </w:r>
          </w:p>
        </w:tc>
      </w:tr>
      <w:tr>
        <w:tc>
          <w:tcPr/>
          <w:p>
            <w:pPr>
              <w:pStyle w:val="Compact"/>
            </w:pPr>
            <w:r>
              <w:t xml:space="preserve">DeepVul</w:t>
            </w:r>
          </w:p>
        </w:tc>
        <w:tc>
          <w:tcPr/>
          <w:p>
            <w:pPr>
              <w:pStyle w:val="Compact"/>
            </w:pPr>
            <w:r>
              <w:t xml:space="preserve">2024</w:t>
            </w:r>
          </w:p>
        </w:tc>
        <w:tc>
          <w:tcPr/>
          <w:p>
            <w:pPr>
              <w:pStyle w:val="Compact"/>
            </w:pPr>
            <w:r>
              <w:t xml:space="preserve">alaa27/DeepVul</w:t>
            </w:r>
          </w:p>
        </w:tc>
        <w:tc>
          <w:tcPr/>
          <w:p>
            <w:pPr>
              <w:pStyle w:val="Compact"/>
            </w:pPr>
            <w:r>
              <w:t xml:space="preserve">multi-task transformer: essentiality + drug response</w:t>
            </w:r>
          </w:p>
        </w:tc>
      </w:tr>
      <w:tr>
        <w:tc>
          <w:tcPr/>
          <w:p>
            <w:pPr>
              <w:pStyle w:val="Compact"/>
            </w:pPr>
            <w:r>
              <w:t xml:space="preserve">XGEP</w:t>
            </w:r>
          </w:p>
        </w:tc>
        <w:tc>
          <w:tcPr/>
          <w:p>
            <w:pPr>
              <w:pStyle w:val="Compact"/>
            </w:pPr>
            <w:r>
              <w:t xml:space="preserve">2023</w:t>
            </w:r>
          </w:p>
        </w:tc>
        <w:tc>
          <w:tcPr/>
          <w:p>
            <w:pPr>
              <w:pStyle w:val="Compact"/>
            </w:pPr>
            <w:r>
              <w:t xml:space="preserve">BioDataLearning/XGEP</w:t>
            </w:r>
          </w:p>
        </w:tc>
        <w:tc>
          <w:tcPr/>
          <w:p>
            <w:pPr>
              <w:pStyle w:val="Compact"/>
            </w:pPr>
            <w:r>
              <w:t xml:space="preserve">expression-based essentials + lncRNAs</w:t>
            </w:r>
          </w:p>
        </w:tc>
      </w:tr>
      <w:tr>
        <w:tc>
          <w:tcPr/>
          <w:p>
            <w:pPr>
              <w:pStyle w:val="Compact"/>
            </w:pPr>
            <w:r>
              <w:t xml:space="preserve">DeeplyEssential</w:t>
            </w:r>
          </w:p>
        </w:tc>
        <w:tc>
          <w:tcPr/>
          <w:p>
            <w:pPr>
              <w:pStyle w:val="Compact"/>
            </w:pPr>
            <w:r>
              <w:t xml:space="preserve">2020</w:t>
            </w:r>
          </w:p>
        </w:tc>
        <w:tc>
          <w:tcPr/>
          <w:p>
            <w:pPr>
              <w:pStyle w:val="Compact"/>
            </w:pPr>
            <w:r>
              <w:t xml:space="preserve">ucrbioinfo/DeeplyEssential</w:t>
            </w:r>
          </w:p>
        </w:tc>
        <w:tc>
          <w:tcPr/>
          <w:p>
            <w:pPr>
              <w:pStyle w:val="Compact"/>
            </w:pPr>
            <w:r>
              <w:t xml:space="preserve">microbial essentiality DNN</w:t>
            </w:r>
          </w:p>
        </w:tc>
      </w:tr>
      <w:tr>
        <w:tc>
          <w:tcPr/>
          <w:p>
            <w:pPr>
              <w:pStyle w:val="Compact"/>
            </w:pPr>
            <w:r>
              <w:t xml:space="preserve">Spiking NN (CGR)</w:t>
            </w:r>
          </w:p>
        </w:tc>
        <w:tc>
          <w:tcPr/>
          <w:p>
            <w:pPr>
              <w:pStyle w:val="Compact"/>
            </w:pPr>
            <w:r>
              <w:t xml:space="preserve">2021</w:t>
            </w:r>
          </w:p>
        </w:tc>
        <w:tc>
          <w:tcPr/>
          <w:p>
            <w:pPr>
              <w:pStyle w:val="Compact"/>
            </w:pPr>
            <w:r>
              <w:t xml:space="preserve">Chaos Solitons Fractals</w:t>
            </w:r>
          </w:p>
        </w:tc>
        <w:tc>
          <w:tcPr/>
          <w:p>
            <w:pPr>
              <w:pStyle w:val="Compact"/>
            </w:pPr>
            <w:r>
              <w:t xml:space="preserve">chaos-game representation + spiking NN</w:t>
            </w:r>
          </w:p>
        </w:tc>
      </w:tr>
      <w:tr>
        <w:tc>
          <w:tcPr/>
          <w:p>
            <w:pPr>
              <w:pStyle w:val="Compact"/>
            </w:pPr>
            <w:r>
              <w:t xml:space="preserve">MetaGEM</w:t>
            </w:r>
          </w:p>
        </w:tc>
        <w:tc>
          <w:tcPr/>
          <w:p>
            <w:pPr>
              <w:pStyle w:val="Compact"/>
            </w:pPr>
            <w:r>
              <w:t xml:space="preserve">2026</w:t>
            </w:r>
          </w:p>
        </w:tc>
        <w:tc>
          <w:tcPr/>
          <w:p>
            <w:pPr>
              <w:pStyle w:val="Compact"/>
            </w:pPr>
            <w:r>
              <w:t xml:space="preserve">arXiv:2605.14812</w:t>
            </w:r>
          </w:p>
        </w:tc>
        <w:tc>
          <w:tcPr/>
          <w:p>
            <w:pPr>
              <w:pStyle w:val="Compact"/>
            </w:pPr>
            <w:r>
              <w:t xml:space="preserve">genome-scale metabolic networks via deep enzyme anchoring</w:t>
            </w:r>
          </w:p>
        </w:tc>
      </w:tr>
      <w:tr>
        <w:tc>
          <w:tcPr/>
          <w:p>
            <w:pPr>
              <w:pStyle w:val="Compact"/>
            </w:pPr>
            <w:r>
              <w:t xml:space="preserve">dnaHNet</w:t>
            </w:r>
          </w:p>
        </w:tc>
        <w:tc>
          <w:tcPr/>
          <w:p>
            <w:pPr>
              <w:pStyle w:val="Compact"/>
            </w:pPr>
            <w:r>
              <w:t xml:space="preserve">2026</w:t>
            </w:r>
          </w:p>
        </w:tc>
        <w:tc>
          <w:tcPr/>
          <w:p>
            <w:pPr>
              <w:pStyle w:val="Compact"/>
            </w:pPr>
            <w:r>
              <w:t xml:space="preserve">arXiv:2602.10603</w:t>
            </w:r>
          </w:p>
        </w:tc>
        <w:tc>
          <w:tcPr/>
          <w:p>
            <w:pPr>
              <w:pStyle w:val="Compact"/>
            </w:pPr>
            <w:r>
              <w:t xml:space="preserve">hierarchical foundation model for genomic sequence</w:t>
            </w:r>
          </w:p>
        </w:tc>
      </w:tr>
    </w:tbl>
    <w:bookmarkEnd w:id="15"/>
    <w:bookmarkStart w:id="16" w:name="Xfa735b275b3ba366f99bd8cf2c3a9a83e7b7543"/>
    <w:p>
      <w:pPr>
        <w:pStyle w:val="Heading2"/>
      </w:pPr>
      <w:r>
        <w:t xml:space="preserve">3.4 Generative models &amp; single-cell CRISPR (scCRISPR)</w:t>
      </w:r>
    </w:p>
    <w:p>
      <w:pPr>
        <w:pStyle w:val="FirstParagraph"/>
      </w:pPr>
      <w:r>
        <w:t xml:space="preserve">The current frontier is predicting</w:t>
      </w:r>
      <w:r>
        <w:t xml:space="preserve"> </w:t>
      </w:r>
      <w:r>
        <w:rPr>
          <w:i/>
          <w:iCs/>
        </w:rPr>
        <w:t xml:space="preserve">single-cell perturbation response</w:t>
      </w:r>
      <w:r>
        <w:t xml:space="preserve"> </w:t>
      </w:r>
      <w:r>
        <w:t xml:space="preserve">and</w:t>
      </w:r>
      <w:r>
        <w:t xml:space="preserve"> </w:t>
      </w:r>
      <w:r>
        <w:t xml:space="preserve">essentiality from scCRISPR screens. The following are verifiable via public APIs</w:t>
      </w:r>
      <w:r>
        <w:t xml:space="preserve"> </w:t>
      </w:r>
      <w:r>
        <w:t xml:space="preserve">(PubMed / Crossref / Europe PMC):</w:t>
      </w:r>
    </w:p>
    <w:tbl>
      <w:tblPr>
        <w:tblStyle w:val="Table"/>
        <w:tblW w:type="pct" w:w="5000"/>
        <w:tblLayout w:type="fixed"/>
        <w:tblLook w:firstRow="1" w:lastRow="0" w:firstColumn="0" w:lastColumn="0" w:noHBand="0" w:noVBand="0" w:val="0020"/>
      </w:tblPr>
      <w:tblGrid>
        <w:gridCol w:w="1357"/>
        <w:gridCol w:w="1357"/>
        <w:gridCol w:w="2941"/>
        <w:gridCol w:w="2262"/>
      </w:tblGrid>
      <w:tr>
        <w:trPr>
          <w:tblHeader w:val="on"/>
        </w:trPr>
        <w:tc>
          <w:tcPr/>
          <w:p>
            <w:pPr>
              <w:pStyle w:val="Compact"/>
            </w:pPr>
            <w:r>
              <w:t xml:space="preserve">Tool</w:t>
            </w:r>
          </w:p>
        </w:tc>
        <w:tc>
          <w:tcPr/>
          <w:p>
            <w:pPr>
              <w:pStyle w:val="Compact"/>
            </w:pPr>
            <w:r>
              <w:t xml:space="preserve">Year</w:t>
            </w:r>
          </w:p>
        </w:tc>
        <w:tc>
          <w:tcPr/>
          <w:p>
            <w:pPr>
              <w:pStyle w:val="Compact"/>
            </w:pPr>
            <w:r>
              <w:t xml:space="preserve">Venue / DOI</w:t>
            </w:r>
          </w:p>
        </w:tc>
        <w:tc>
          <w:tcPr/>
          <w:p>
            <w:pPr>
              <w:pStyle w:val="Compact"/>
            </w:pPr>
            <w:r>
              <w:t xml:space="preserve">Approach</w:t>
            </w:r>
          </w:p>
        </w:tc>
      </w:tr>
      <w:tr>
        <w:tc>
          <w:tcPr/>
          <w:p>
            <w:pPr>
              <w:pStyle w:val="Compact"/>
            </w:pPr>
            <w:r>
              <w:rPr>
                <w:b/>
                <w:bCs/>
              </w:rPr>
              <w:t xml:space="preserve">scLAMBDA</w:t>
            </w:r>
          </w:p>
        </w:tc>
        <w:tc>
          <w:tcPr/>
          <w:p>
            <w:pPr>
              <w:pStyle w:val="Compact"/>
            </w:pPr>
            <w:r>
              <w:t xml:space="preserve">2024</w:t>
            </w:r>
          </w:p>
        </w:tc>
        <w:tc>
          <w:tcPr/>
          <w:p>
            <w:pPr>
              <w:pStyle w:val="Compact"/>
            </w:pPr>
            <w:r>
              <w:t xml:space="preserve">bioRxiv 10.1101/2024.12.04.626878</w:t>
            </w:r>
          </w:p>
        </w:tc>
        <w:tc>
          <w:tcPr/>
          <w:p>
            <w:pPr>
              <w:pStyle w:val="Compact"/>
            </w:pPr>
            <w:r>
              <w:t xml:space="preserve">deep generative framework for scCRISPR perturbation responses</w:t>
            </w:r>
          </w:p>
        </w:tc>
      </w:tr>
      <w:tr>
        <w:tc>
          <w:tcPr/>
          <w:p>
            <w:pPr>
              <w:pStyle w:val="Compact"/>
            </w:pPr>
            <w:r>
              <w:rPr>
                <w:b/>
                <w:bCs/>
              </w:rPr>
              <w:t xml:space="preserve">PerturbNet</w:t>
            </w:r>
          </w:p>
        </w:tc>
        <w:tc>
          <w:tcPr/>
          <w:p>
            <w:pPr>
              <w:pStyle w:val="Compact"/>
            </w:pPr>
            <w:r>
              <w:t xml:space="preserve">2025</w:t>
            </w:r>
          </w:p>
        </w:tc>
        <w:tc>
          <w:tcPr/>
          <w:p>
            <w:pPr>
              <w:pStyle w:val="Compact"/>
            </w:pPr>
            <w:r>
              <w:t xml:space="preserve">Mol Syst Biol 10.1038/s44320-025-00131-3</w:t>
            </w:r>
          </w:p>
        </w:tc>
        <w:tc>
          <w:tcPr/>
          <w:p>
            <w:pPr>
              <w:pStyle w:val="Compact"/>
            </w:pPr>
            <w:r>
              <w:t xml:space="preserve">generative model for single-cell perturbation response</w:t>
            </w:r>
          </w:p>
        </w:tc>
      </w:tr>
      <w:tr>
        <w:tc>
          <w:tcPr/>
          <w:p>
            <w:pPr>
              <w:pStyle w:val="Compact"/>
            </w:pPr>
            <w:r>
              <w:t xml:space="preserve">ACE</w:t>
            </w:r>
          </w:p>
        </w:tc>
        <w:tc>
          <w:tcPr/>
          <w:p>
            <w:pPr>
              <w:pStyle w:val="Compact"/>
            </w:pPr>
            <w:r>
              <w:t xml:space="preserve">2021</w:t>
            </w:r>
          </w:p>
        </w:tc>
        <w:tc>
          <w:tcPr/>
          <w:p>
            <w:pPr>
              <w:pStyle w:val="Compact"/>
            </w:pPr>
            <w:r>
              <w:t xml:space="preserve">Genome Biol 10.1186/s13059-021-02491-z</w:t>
            </w:r>
          </w:p>
        </w:tc>
        <w:tc>
          <w:tcPr/>
          <w:p>
            <w:pPr>
              <w:pStyle w:val="Compact"/>
            </w:pPr>
            <w:r>
              <w:t xml:space="preserve">profile-HMM essentiality from (single-cell) CRISPR screens</w:t>
            </w:r>
          </w:p>
        </w:tc>
      </w:tr>
      <w:tr>
        <w:tc>
          <w:tcPr/>
          <w:p>
            <w:pPr>
              <w:pStyle w:val="Compact"/>
            </w:pPr>
            <w:r>
              <w:t xml:space="preserve">Chronos</w:t>
            </w:r>
          </w:p>
        </w:tc>
        <w:tc>
          <w:tcPr/>
          <w:p>
            <w:pPr>
              <w:pStyle w:val="Compact"/>
            </w:pPr>
            <w:r>
              <w:t xml:space="preserve">2021</w:t>
            </w:r>
          </w:p>
        </w:tc>
        <w:tc>
          <w:tcPr/>
          <w:p>
            <w:pPr>
              <w:pStyle w:val="Compact"/>
            </w:pPr>
            <w:r>
              <w:t xml:space="preserve">Genome Biol 10.1186/s13059-021-02540-7</w:t>
            </w:r>
          </w:p>
        </w:tc>
        <w:tc>
          <w:tcPr/>
          <w:p>
            <w:pPr>
              <w:pStyle w:val="Compact"/>
            </w:pPr>
            <w:r>
              <w:t xml:space="preserve">cell-population fitness model</w:t>
            </w:r>
          </w:p>
        </w:tc>
      </w:tr>
      <w:tr>
        <w:tc>
          <w:tcPr/>
          <w:p>
            <w:pPr>
              <w:pStyle w:val="Compact"/>
            </w:pPr>
            <w:r>
              <w:t xml:space="preserve">scCRISPR tiling</w:t>
            </w:r>
          </w:p>
        </w:tc>
        <w:tc>
          <w:tcPr/>
          <w:p>
            <w:pPr>
              <w:pStyle w:val="Compact"/>
            </w:pPr>
            <w:r>
              <w:t xml:space="preserve">2021</w:t>
            </w:r>
          </w:p>
        </w:tc>
        <w:tc>
          <w:tcPr/>
          <w:p>
            <w:pPr>
              <w:pStyle w:val="Compact"/>
            </w:pPr>
            <w:r>
              <w:t xml:space="preserve">Nat Commun 10.1038/s41467-021-24324-0</w:t>
            </w:r>
          </w:p>
        </w:tc>
        <w:tc>
          <w:tcPr/>
          <w:p>
            <w:pPr>
              <w:pStyle w:val="Compact"/>
            </w:pPr>
            <w:r>
              <w:t xml:space="preserve">functional inference from single-cell CRISPR tiling</w:t>
            </w:r>
          </w:p>
        </w:tc>
      </w:tr>
      <w:tr>
        <w:tc>
          <w:tcPr/>
          <w:p>
            <w:pPr>
              <w:pStyle w:val="Compact"/>
            </w:pPr>
            <w:r>
              <w:t xml:space="preserve">Single-cell CRISPR essentiality assay</w:t>
            </w:r>
          </w:p>
        </w:tc>
        <w:tc>
          <w:tcPr/>
          <w:p>
            <w:pPr>
              <w:pStyle w:val="Compact"/>
            </w:pPr>
            <w:r>
              <w:t xml:space="preserve">2015</w:t>
            </w:r>
          </w:p>
        </w:tc>
        <w:tc>
          <w:tcPr/>
          <w:p>
            <w:pPr>
              <w:pStyle w:val="Compact"/>
            </w:pPr>
            <w:r>
              <w:t xml:space="preserve">Biol Proced Online (PMID:26578851)</w:t>
            </w:r>
          </w:p>
        </w:tc>
        <w:tc>
          <w:tcPr/>
          <w:p>
            <w:pPr>
              <w:pStyle w:val="Compact"/>
            </w:pPr>
            <w:r>
              <w:t xml:space="preserve">medium-throughput single-cell CRISPR essentiality assay</w:t>
            </w:r>
          </w:p>
        </w:tc>
      </w:tr>
    </w:tbl>
    <w:p>
      <w:pPr>
        <w:pStyle w:val="BlockText"/>
      </w:pPr>
      <w:r>
        <w:rPr>
          <w:b/>
          <w:bCs/>
        </w:rPr>
        <w:t xml:space="preserve">Verification note.</w:t>
      </w:r>
      <w:r>
        <w:t xml:space="preserve"> </w:t>
      </w:r>
      <w:r>
        <w:t xml:space="preserve">The widely-cited</w:t>
      </w:r>
      <w:r>
        <w:t xml:space="preserve"> </w:t>
      </w:r>
      <w:r>
        <w:rPr>
          <w:b/>
          <w:bCs/>
        </w:rPr>
        <w:t xml:space="preserve">DEGAS</w:t>
      </w:r>
      <w:r>
        <w:t xml:space="preserve"> </w:t>
      </w:r>
      <w:r>
        <w:t xml:space="preserve">(</w:t>
      </w:r>
      <w:r>
        <w:t xml:space="preserve">“A deep generative model of</w:t>
      </w:r>
      <w:r>
        <w:t xml:space="preserve"> </w:t>
      </w:r>
      <w:r>
        <w:t xml:space="preserve">gene essentiality from single-cell CRISPR screens,”</w:t>
      </w:r>
      <w:r>
        <w:t xml:space="preserve"> </w:t>
      </w:r>
      <w:r>
        <w:t xml:space="preserve">attributed to Lorbeer, Tan,</w:t>
      </w:r>
      <w:r>
        <w:t xml:space="preserve"> </w:t>
      </w:r>
      <w:r>
        <w:t xml:space="preserve">et al., Nat Commun 2023) could</w:t>
      </w:r>
      <w:r>
        <w:t xml:space="preserve"> </w:t>
      </w:r>
      <w:r>
        <w:rPr>
          <w:b/>
          <w:bCs/>
        </w:rPr>
        <w:t xml:space="preserve">not be confirmed</w:t>
      </w:r>
      <w:r>
        <w:t xml:space="preserve"> </w:t>
      </w:r>
      <w:r>
        <w:t xml:space="preserve">through PubMed, Crossref,</w:t>
      </w:r>
      <w:r>
        <w:t xml:space="preserve"> </w:t>
      </w:r>
      <w:r>
        <w:t xml:space="preserve">Europe PMC, or arXiv title/name searches performed for this review, and no</w:t>
      </w:r>
      <w:r>
        <w:t xml:space="preserve"> </w:t>
      </w:r>
      <w:r>
        <w:t xml:space="preserve">canonical public repository was found. It is therefore</w:t>
      </w:r>
      <w:r>
        <w:t xml:space="preserve"> </w:t>
      </w:r>
      <w:r>
        <w:rPr>
          <w:b/>
          <w:bCs/>
        </w:rPr>
        <w:t xml:space="preserve">not</w:t>
      </w:r>
      <w:r>
        <w:t xml:space="preserve"> </w:t>
      </w:r>
      <w:r>
        <w:t xml:space="preserve">included in the</w:t>
      </w:r>
      <w:r>
        <w:t xml:space="preserve"> </w:t>
      </w:r>
      <w:r>
        <w:t xml:space="preserve">verified table above; if it is to be cited, its DOI and authorship must be</w:t>
      </w:r>
      <w:r>
        <w:t xml:space="preserve"> </w:t>
      </w:r>
      <w:r>
        <w:t xml:space="preserve">confirmed from the original publication before submission. The same applies to</w:t>
      </w:r>
      <w:r>
        <w:t xml:space="preserve"> </w:t>
      </w:r>
      <w:r>
        <w:rPr>
          <w:b/>
          <w:bCs/>
        </w:rPr>
        <w:t xml:space="preserve">scEVE</w:t>
      </w:r>
      <w:r>
        <w:t xml:space="preserve"> </w:t>
      </w:r>
      <w:r>
        <w:t xml:space="preserve">and</w:t>
      </w:r>
      <w:r>
        <w:t xml:space="preserve"> </w:t>
      </w:r>
      <w:r>
        <w:rPr>
          <w:b/>
          <w:bCs/>
        </w:rPr>
        <w:t xml:space="preserve">CHNet</w:t>
      </w:r>
      <w:r>
        <w:t xml:space="preserve">, which appear in the essentiality literature but could not</w:t>
      </w:r>
      <w:r>
        <w:t xml:space="preserve"> </w:t>
      </w:r>
      <w:r>
        <w:t xml:space="preserve">be verified against public APIs or a canonical repository.</w:t>
      </w:r>
    </w:p>
    <w:bookmarkEnd w:id="16"/>
    <w:bookmarkStart w:id="17" w:name="Xc688dba9e5b163f075bcc68997f2c16654b2e23"/>
    <w:p>
      <w:pPr>
        <w:pStyle w:val="Heading2"/>
      </w:pPr>
      <w:r>
        <w:t xml:space="preserve">3.5 Methods with no canonical public repository</w:t>
      </w:r>
    </w:p>
    <w:p>
      <w:pPr>
        <w:pStyle w:val="FirstParagraph"/>
      </w:pPr>
      <w:r>
        <w:rPr>
          <w:b/>
          <w:bCs/>
        </w:rPr>
        <w:t xml:space="preserve">DEGAS</w:t>
      </w:r>
      <w:r>
        <w:t xml:space="preserve">,</w:t>
      </w:r>
      <w:r>
        <w:t xml:space="preserve"> </w:t>
      </w:r>
      <w:r>
        <w:rPr>
          <w:b/>
          <w:bCs/>
        </w:rPr>
        <w:t xml:space="preserve">scEVE</w:t>
      </w:r>
      <w:r>
        <w:t xml:space="preserve">, and</w:t>
      </w:r>
      <w:r>
        <w:t xml:space="preserve"> </w:t>
      </w:r>
      <w:r>
        <w:rPr>
          <w:b/>
          <w:bCs/>
        </w:rPr>
        <w:t xml:space="preserve">CHNet</w:t>
      </w:r>
      <w:r>
        <w:t xml:space="preserve"> </w:t>
      </w:r>
      <w:r>
        <w:t xml:space="preserve">appear in the literature but could not be</w:t>
      </w:r>
      <w:r>
        <w:t xml:space="preserve"> </w:t>
      </w:r>
      <w:r>
        <w:t xml:space="preserve">verified in this survey (neither a canonical GitHub repository nor a resolvable</w:t>
      </w:r>
      <w:r>
        <w:t xml:space="preserve"> </w:t>
      </w:r>
      <w:r>
        <w:t xml:space="preserve">DOI via PubMed/Crossref/Europe PMC/arXiv). They should be sourced directly from</w:t>
      </w:r>
      <w:r>
        <w:t xml:space="preserve"> </w:t>
      </w:r>
      <w:r>
        <w:t xml:space="preserve">their papers, with DOI and authorship confirmed, before being cited.</w:t>
      </w:r>
    </w:p>
    <w:bookmarkEnd w:id="17"/>
    <w:bookmarkEnd w:id="18"/>
    <w:bookmarkStart w:id="21" w:name="comparison-and-strengths-weaknesses"/>
    <w:p>
      <w:pPr>
        <w:pStyle w:val="Heading1"/>
      </w:pPr>
      <w:r>
        <w:t xml:space="preserve">4. Comparison and Strengths / Weaknesses</w:t>
      </w:r>
    </w:p>
    <w:bookmarkStart w:id="19" w:name="cross-cutting-comparison"/>
    <w:p>
      <w:pPr>
        <w:pStyle w:val="Heading2"/>
      </w:pPr>
      <w:r>
        <w:t xml:space="preserve">4.1 Cross-cutting comparison</w:t>
      </w:r>
    </w:p>
    <w:tbl>
      <w:tblPr>
        <w:tblStyle w:val="Table"/>
        <w:tblW w:type="pct" w:w="5000"/>
        <w:tblLayout w:type="fixed"/>
        <w:tblLook w:firstRow="1" w:lastRow="0" w:firstColumn="0" w:lastColumn="0" w:noHBand="0" w:noVBand="0" w:val="0020"/>
      </w:tblPr>
      <w:tblGrid>
        <w:gridCol w:w="1013"/>
        <w:gridCol w:w="2946"/>
        <w:gridCol w:w="2578"/>
        <w:gridCol w:w="1381"/>
      </w:tblGrid>
      <w:tr>
        <w:trPr>
          <w:tblHeader w:val="on"/>
        </w:trPr>
        <w:tc>
          <w:tcPr/>
          <w:p>
            <w:pPr>
              <w:pStyle w:val="Compact"/>
            </w:pPr>
            <w:r>
              <w:t xml:space="preserve">Dimension</w:t>
            </w:r>
          </w:p>
        </w:tc>
        <w:tc>
          <w:tcPr/>
          <w:p>
            <w:pPr>
              <w:pStyle w:val="Compact"/>
            </w:pPr>
            <w:r>
              <w:t xml:space="preserve">Expression-robust (scEssentials)</w:t>
            </w:r>
          </w:p>
        </w:tc>
        <w:tc>
          <w:tcPr/>
          <w:p>
            <w:pPr>
              <w:pStyle w:val="Compact"/>
            </w:pPr>
            <w:r>
              <w:t xml:space="preserve">Functional (DepMap/CRISPR)</w:t>
            </w:r>
          </w:p>
        </w:tc>
        <w:tc>
          <w:tcPr/>
          <w:p>
            <w:pPr>
              <w:pStyle w:val="Compact"/>
            </w:pPr>
            <w:r>
              <w:t xml:space="preserve">Deep learning</w:t>
            </w:r>
          </w:p>
        </w:tc>
      </w:tr>
      <w:tr>
        <w:tc>
          <w:tcPr/>
          <w:p>
            <w:pPr>
              <w:pStyle w:val="Compact"/>
            </w:pPr>
            <w:r>
              <w:t xml:space="preserve">Data need</w:t>
            </w:r>
          </w:p>
        </w:tc>
        <w:tc>
          <w:tcPr/>
          <w:p>
            <w:pPr>
              <w:pStyle w:val="Compact"/>
            </w:pPr>
            <w:r>
              <w:t xml:space="preserve">scRNA-seq only</w:t>
            </w:r>
          </w:p>
        </w:tc>
        <w:tc>
          <w:tcPr/>
          <w:p>
            <w:pPr>
              <w:pStyle w:val="Compact"/>
            </w:pPr>
            <w:r>
              <w:t xml:space="preserve">pooled knockout screen</w:t>
            </w:r>
          </w:p>
        </w:tc>
        <w:tc>
          <w:tcPr/>
          <w:p>
            <w:pPr>
              <w:pStyle w:val="Compact"/>
            </w:pPr>
            <w:r>
              <w:t xml:space="preserve">features + labels</w:t>
            </w:r>
          </w:p>
        </w:tc>
      </w:tr>
      <w:tr>
        <w:tc>
          <w:tcPr/>
          <w:p>
            <w:pPr>
              <w:pStyle w:val="Compact"/>
            </w:pPr>
            <w:r>
              <w:t xml:space="preserve">Interpretability</w:t>
            </w:r>
          </w:p>
        </w:tc>
        <w:tc>
          <w:tcPr/>
          <w:p>
            <w:pPr>
              <w:pStyle w:val="Compact"/>
            </w:pPr>
            <w:r>
              <w:t xml:space="preserve">High (transparent formula)</w:t>
            </w:r>
          </w:p>
        </w:tc>
        <w:tc>
          <w:tcPr/>
          <w:p>
            <w:pPr>
              <w:pStyle w:val="Compact"/>
            </w:pPr>
            <w:r>
              <w:t xml:space="preserve">High (experimental)</w:t>
            </w:r>
          </w:p>
        </w:tc>
        <w:tc>
          <w:tcPr/>
          <w:p>
            <w:pPr>
              <w:pStyle w:val="Compact"/>
            </w:pPr>
            <w:r>
              <w:t xml:space="preserve">Low–medium</w:t>
            </w:r>
          </w:p>
        </w:tc>
      </w:tr>
      <w:tr>
        <w:tc>
          <w:tcPr/>
          <w:p>
            <w:pPr>
              <w:pStyle w:val="Compact"/>
            </w:pPr>
            <w:r>
              <w:t xml:space="preserve">Genomic coverage</w:t>
            </w:r>
          </w:p>
        </w:tc>
        <w:tc>
          <w:tcPr/>
          <w:p>
            <w:pPr>
              <w:pStyle w:val="Compact"/>
            </w:pPr>
            <w:r>
              <w:t xml:space="preserve">expressed genes only</w:t>
            </w:r>
          </w:p>
        </w:tc>
        <w:tc>
          <w:tcPr/>
          <w:p>
            <w:pPr>
              <w:pStyle w:val="Compact"/>
            </w:pPr>
            <w:r>
              <w:t xml:space="preserve">genome-wide</w:t>
            </w:r>
          </w:p>
        </w:tc>
        <w:tc>
          <w:tcPr/>
          <w:p>
            <w:pPr>
              <w:pStyle w:val="Compact"/>
            </w:pPr>
            <w:r>
              <w:t xml:space="preserve">feature-dependent</w:t>
            </w:r>
          </w:p>
        </w:tc>
      </w:tr>
      <w:tr>
        <w:tc>
          <w:tcPr/>
          <w:p>
            <w:pPr>
              <w:pStyle w:val="Compact"/>
            </w:pPr>
            <w:r>
              <w:t xml:space="preserve">Cross-species</w:t>
            </w:r>
          </w:p>
        </w:tc>
        <w:tc>
          <w:tcPr/>
          <w:p>
            <w:pPr>
              <w:pStyle w:val="Compact"/>
            </w:pPr>
            <w:r>
              <w:t xml:space="preserve">recompute needed</w:t>
            </w:r>
          </w:p>
        </w:tc>
        <w:tc>
          <w:tcPr/>
          <w:p>
            <w:pPr>
              <w:pStyle w:val="Compact"/>
            </w:pPr>
            <w:r>
              <w:t xml:space="preserve">hard (per-species screens)</w:t>
            </w:r>
          </w:p>
        </w:tc>
        <w:tc>
          <w:tcPr/>
          <w:p>
            <w:pPr>
              <w:pStyle w:val="Compact"/>
            </w:pPr>
            <w:r>
              <w:t xml:space="preserve">transferable</w:t>
            </w:r>
          </w:p>
        </w:tc>
      </w:tr>
      <w:tr>
        <w:tc>
          <w:tcPr/>
          <w:p>
            <w:pPr>
              <w:pStyle w:val="Compact"/>
            </w:pPr>
            <w:r>
              <w:t xml:space="preserve">Runs on new data</w:t>
            </w:r>
          </w:p>
        </w:tc>
        <w:tc>
          <w:tcPr/>
          <w:p>
            <w:pPr>
              <w:pStyle w:val="Compact"/>
            </w:pPr>
            <w:r>
              <w:t xml:space="preserve">Yes</w:t>
            </w:r>
          </w:p>
        </w:tc>
        <w:tc>
          <w:tcPr/>
          <w:p>
            <w:pPr>
              <w:pStyle w:val="Compact"/>
            </w:pPr>
            <w:r>
              <w:t xml:space="preserve">No (needs screen data)</w:t>
            </w:r>
          </w:p>
        </w:tc>
        <w:tc>
          <w:tcPr/>
          <w:p>
            <w:pPr>
              <w:pStyle w:val="Compact"/>
            </w:pPr>
            <w:r>
              <w:t xml:space="preserve">needs trained model</w:t>
            </w:r>
          </w:p>
        </w:tc>
      </w:tr>
      <w:tr>
        <w:tc>
          <w:tcPr/>
          <w:p>
            <w:pPr>
              <w:pStyle w:val="Compact"/>
            </w:pPr>
            <w:r>
              <w:t xml:space="preserve">Biological meaning</w:t>
            </w:r>
          </w:p>
        </w:tc>
        <w:tc>
          <w:tcPr/>
          <w:p>
            <w:pPr>
              <w:pStyle w:val="Compact"/>
            </w:pPr>
            <w:r>
              <w:t xml:space="preserve">housekeeping / reference</w:t>
            </w:r>
          </w:p>
        </w:tc>
        <w:tc>
          <w:tcPr/>
          <w:p>
            <w:pPr>
              <w:pStyle w:val="Compact"/>
            </w:pPr>
            <w:r>
              <w:t xml:space="preserve">direct knock-out lethality</w:t>
            </w:r>
          </w:p>
        </w:tc>
        <w:tc>
          <w:tcPr/>
          <w:p>
            <w:pPr>
              <w:pStyle w:val="Compact"/>
            </w:pPr>
            <w:r>
              <w:t xml:space="preserve">fits functional labels</w:t>
            </w:r>
          </w:p>
        </w:tc>
      </w:tr>
    </w:tbl>
    <w:bookmarkEnd w:id="19"/>
    <w:bookmarkStart w:id="20" w:name="detailed-strengths-and-weaknesses"/>
    <w:p>
      <w:pPr>
        <w:pStyle w:val="Heading2"/>
      </w:pPr>
      <w:r>
        <w:t xml:space="preserve">4.2 Detailed strengths and weaknesses</w:t>
      </w:r>
    </w:p>
    <w:p>
      <w:pPr>
        <w:pStyle w:val="FirstParagraph"/>
      </w:pPr>
      <w:r>
        <w:rPr>
          <w:b/>
          <w:bCs/>
        </w:rPr>
        <w:t xml:space="preserve">scEssentials (baseline).</w:t>
      </w:r>
      <w:r>
        <w:t xml:space="preserve"> </w:t>
      </w:r>
      <w:r>
        <w:rPr>
          <w:i/>
          <w:iCs/>
        </w:rPr>
        <w:t xml:space="preserve">Strengths:</w:t>
      </w:r>
      <w:r>
        <w:t xml:space="preserve"> </w:t>
      </w:r>
      <w:r>
        <w:t xml:space="preserve">lightweight, expression-only, interpretable, runs on any new</w:t>
      </w:r>
      <w:r>
        <w:t xml:space="preserve"> </w:t>
      </w:r>
      <w:r>
        <w:t xml:space="preserve">scRNA-seq data.</w:t>
      </w:r>
      <w:r>
        <w:t xml:space="preserve"> </w:t>
      </w:r>
      <w:r>
        <w:rPr>
          <w:i/>
          <w:iCs/>
        </w:rPr>
        <w:t xml:space="preserve">Weaknesses:</w:t>
      </w:r>
      <w:r>
        <w:t xml:space="preserve"> </w:t>
      </w:r>
      <w:r>
        <w:t xml:space="preserve">(1)</w:t>
      </w:r>
      <w:r>
        <w:t xml:space="preserve"> </w:t>
      </w:r>
      <w:r>
        <w:t xml:space="preserve">“expression-robust”</w:t>
      </w:r>
      <w:r>
        <w:t xml:space="preserve"> </w:t>
      </w:r>
      <w:r>
        <w:t xml:space="preserve">≠</w:t>
      </w:r>
      <w:r>
        <w:t xml:space="preserve"> </w:t>
      </w:r>
      <w:r>
        <w:t xml:space="preserve">“functionally essential”</w:t>
      </w:r>
      <w:r>
        <w:t xml:space="preserve">; (2) cannot</w:t>
      </w:r>
      <w:r>
        <w:t xml:space="preserve"> </w:t>
      </w:r>
      <w:r>
        <w:t xml:space="preserve">score unexpressed genes; (3) hand-tuned, not supervised; (4) fixed, non-contextual.</w:t>
      </w:r>
    </w:p>
    <w:p>
      <w:pPr>
        <w:pStyle w:val="BodyText"/>
      </w:pPr>
      <w:r>
        <w:rPr>
          <w:b/>
          <w:bCs/>
        </w:rPr>
        <w:t xml:space="preserve">DepMap / Project Score / CRSIPR (functional gold standard).</w:t>
      </w:r>
      <w:r>
        <w:t xml:space="preserve"> </w:t>
      </w:r>
      <w:r>
        <w:rPr>
          <w:i/>
          <w:iCs/>
        </w:rPr>
        <w:t xml:space="preserve">Strengths:</w:t>
      </w:r>
      <w:r>
        <w:t xml:space="preserve"> </w:t>
      </w:r>
      <w:r>
        <w:t xml:space="preserve">most direct definition of essentiality; benchmark for everything.</w:t>
      </w:r>
      <w:r>
        <w:t xml:space="preserve"> </w:t>
      </w:r>
      <w:r>
        <w:rPr>
          <w:i/>
          <w:iCs/>
        </w:rPr>
        <w:t xml:space="preserve">Weaknesses:</w:t>
      </w:r>
      <w:r>
        <w:t xml:space="preserve"> </w:t>
      </w:r>
      <w:r>
        <w:t xml:space="preserve">requires large screens; cell lines ≠ primary tissue; cancer bias.</w:t>
      </w:r>
    </w:p>
    <w:p>
      <w:pPr>
        <w:pStyle w:val="BodyText"/>
      </w:pPr>
      <w:r>
        <w:rPr>
          <w:b/>
          <w:bCs/>
        </w:rPr>
        <w:t xml:space="preserve">Graph / topology methods (EPGAT, FluxGAT, topology-ML).</w:t>
      </w:r>
      <w:r>
        <w:t xml:space="preserve"> </w:t>
      </w:r>
      <w:r>
        <w:rPr>
          <w:i/>
          <w:iCs/>
        </w:rPr>
        <w:t xml:space="preserve">Strengths:</w:t>
      </w:r>
      <w:r>
        <w:t xml:space="preserve"> </w:t>
      </w:r>
      <w:r>
        <w:t xml:space="preserve">exploit network structure; good for unexpressed or under-measured</w:t>
      </w:r>
      <w:r>
        <w:t xml:space="preserve"> </w:t>
      </w:r>
      <w:r>
        <w:t xml:space="preserve">genes; FluxGAT/metabolic-topology avoid FBA bias.</w:t>
      </w:r>
      <w:r>
        <w:t xml:space="preserve"> </w:t>
      </w:r>
      <w:r>
        <w:rPr>
          <w:i/>
          <w:iCs/>
        </w:rPr>
        <w:t xml:space="preserve">Weaknesses:</w:t>
      </w:r>
      <w:r>
        <w:t xml:space="preserve"> </w:t>
      </w:r>
      <w:r>
        <w:t xml:space="preserve">network completeness/quality dependent; require curated networks;</w:t>
      </w:r>
      <w:r>
        <w:t xml:space="preserve"> </w:t>
      </w:r>
      <w:r>
        <w:t xml:space="preserve">less mature for single-cell resolution.</w:t>
      </w:r>
    </w:p>
    <w:p>
      <w:pPr>
        <w:pStyle w:val="BodyText"/>
      </w:pPr>
      <w:r>
        <w:rPr>
          <w:b/>
          <w:bCs/>
        </w:rPr>
        <w:t xml:space="preserve">Generative / scCRISPR (scLAMBDA, PerturbNet).</w:t>
      </w:r>
      <w:r>
        <w:t xml:space="preserve"> </w:t>
      </w:r>
      <w:r>
        <w:rPr>
          <w:i/>
          <w:iCs/>
        </w:rPr>
        <w:t xml:space="preserve">Strengths:</w:t>
      </w:r>
      <w:r>
        <w:t xml:space="preserve"> </w:t>
      </w:r>
      <w:r>
        <w:t xml:space="preserve">capture sample-level heterogeneity and perturbation responses;</w:t>
      </w:r>
      <w:r>
        <w:t xml:space="preserve"> </w:t>
      </w:r>
      <w:r>
        <w:t xml:space="preserve">single-cell resolution; predict phenotypes for unseen genes/conditions.</w:t>
      </w:r>
      <w:r>
        <w:t xml:space="preserve"> </w:t>
      </w:r>
      <w:r>
        <w:rPr>
          <w:i/>
          <w:iCs/>
        </w:rPr>
        <w:t xml:space="preserve">Weaknesses:</w:t>
      </w:r>
      <w:r>
        <w:t xml:space="preserve"> </w:t>
      </w:r>
      <w:r>
        <w:t xml:space="preserve">data-hungry; heavy compute; label quality from screen design;</w:t>
      </w:r>
      <w:r>
        <w:t xml:space="preserve"> </w:t>
      </w:r>
      <w:r>
        <w:t xml:space="preserve">newer and less standardised.</w:t>
      </w:r>
    </w:p>
    <w:p>
      <w:pPr>
        <w:pStyle w:val="BodyText"/>
      </w:pPr>
      <w:r>
        <w:rPr>
          <w:b/>
          <w:bCs/>
        </w:rPr>
        <w:t xml:space="preserve">Deep learning in general.</w:t>
      </w:r>
      <w:r>
        <w:t xml:space="preserve"> </w:t>
      </w:r>
      <w:r>
        <w:rPr>
          <w:i/>
          <w:iCs/>
        </w:rPr>
        <w:t xml:space="preserve">Strengths:</w:t>
      </w:r>
      <w:r>
        <w:t xml:space="preserve"> </w:t>
      </w:r>
      <w:r>
        <w:t xml:space="preserve">multi-modal features; covers unexpressed genes; cross-species; can</w:t>
      </w:r>
      <w:r>
        <w:t xml:space="preserve"> </w:t>
      </w:r>
      <w:r>
        <w:t xml:space="preserve">align to functional labels.</w:t>
      </w:r>
      <w:r>
        <w:t xml:space="preserve"> </w:t>
      </w:r>
      <w:r>
        <w:rPr>
          <w:i/>
          <w:iCs/>
        </w:rPr>
        <w:t xml:space="preserve">Weaknesses:</w:t>
      </w:r>
      <w:r>
        <w:t xml:space="preserve"> </w:t>
      </w:r>
      <w:r>
        <w:t xml:space="preserve">poor interpretability; label-quality dependent; training bias</w:t>
      </w:r>
      <w:r>
        <w:t xml:space="preserve"> </w:t>
      </w:r>
      <w:r>
        <w:t xml:space="preserve">towards cancer cell lines.</w:t>
      </w:r>
    </w:p>
    <w:bookmarkEnd w:id="20"/>
    <w:bookmarkEnd w:id="21"/>
    <w:bookmarkStart w:id="22" w:name="discussion"/>
    <w:p>
      <w:pPr>
        <w:pStyle w:val="Heading1"/>
      </w:pPr>
      <w:r>
        <w:t xml:space="preserve">5. Discussion</w:t>
      </w:r>
    </w:p>
    <w:p>
      <w:pPr>
        <w:pStyle w:val="FirstParagraph"/>
      </w:pPr>
      <w:r>
        <w:t xml:space="preserve">The field is converging on a synthesis.</w:t>
      </w:r>
      <w:r>
        <w:t xml:space="preserve"> </w:t>
      </w:r>
      <w:r>
        <w:rPr>
          <w:b/>
          <w:bCs/>
        </w:rPr>
        <w:t xml:space="preserve">Expression-robustness and functional</w:t>
      </w:r>
      <w:r>
        <w:rPr>
          <w:b/>
          <w:bCs/>
        </w:rPr>
        <w:t xml:space="preserve"> </w:t>
      </w:r>
      <w:r>
        <w:rPr>
          <w:b/>
          <w:bCs/>
        </w:rPr>
        <w:t xml:space="preserve">essentiality are complementary, not competing</w:t>
      </w:r>
      <w:r>
        <w:t xml:space="preserve">: expression features are cheap,</w:t>
      </w:r>
      <w:r>
        <w:t xml:space="preserve"> </w:t>
      </w:r>
      <w:r>
        <w:t xml:space="preserve">available, and single-cell-resolved, while functional labels are expensive but</w:t>
      </w:r>
      <w:r>
        <w:t xml:space="preserve"> </w:t>
      </w:r>
      <w:r>
        <w:t xml:space="preserve">authoritative. Neither alone is sufficient. Expression-only scores mis-classify</w:t>
      </w:r>
      <w:r>
        <w:t xml:space="preserve"> </w:t>
      </w:r>
      <w:r>
        <w:t xml:space="preserve">dispensable highly-expressed genes and miss essential genes that are conditionally</w:t>
      </w:r>
      <w:r>
        <w:t xml:space="preserve"> </w:t>
      </w:r>
      <w:r>
        <w:t xml:space="preserve">expressed; function-only labels are unavailable for most tissues and species.</w:t>
      </w:r>
    </w:p>
    <w:p>
      <w:pPr>
        <w:pStyle w:val="BodyText"/>
      </w:pPr>
      <w:r>
        <w:t xml:space="preserve">The new generation of methods adds two powerful ingredients:</w:t>
      </w:r>
      <w:r>
        <w:t xml:space="preserve"> </w:t>
      </w:r>
      <w:r>
        <w:t xml:space="preserve">1.</w:t>
      </w:r>
      <w:r>
        <w:t xml:space="preserve"> </w:t>
      </w:r>
      <w:r>
        <w:rPr>
          <w:b/>
          <w:bCs/>
        </w:rPr>
        <w:t xml:space="preserve">Network/topology information</w:t>
      </w:r>
      <w:r>
        <w:t xml:space="preserve"> </w:t>
      </w:r>
      <w:r>
        <w:t xml:space="preserve">(GNNs, metabolic flux, PPI centrality) that</w:t>
      </w:r>
      <w:r>
        <w:t xml:space="preserve"> </w:t>
      </w:r>
      <w:r>
        <w:t xml:space="preserve">captures biological importance beyond expression statistics and can score</w:t>
      </w:r>
      <w:r>
        <w:t xml:space="preserve"> </w:t>
      </w:r>
      <w:r>
        <w:t xml:space="preserve">genes that are barely or not expressed in a given dataset.</w:t>
      </w:r>
      <w:r>
        <w:t xml:space="preserve"> </w:t>
      </w:r>
      <w:r>
        <w:t xml:space="preserve">2.</w:t>
      </w:r>
      <w:r>
        <w:t xml:space="preserve"> </w:t>
      </w:r>
      <w:r>
        <w:rPr>
          <w:b/>
          <w:bCs/>
        </w:rPr>
        <w:t xml:space="preserve">Generative single-cell modeling</w:t>
      </w:r>
      <w:r>
        <w:t xml:space="preserve"> </w:t>
      </w:r>
      <w:r>
        <w:t xml:space="preserve">(scCRISPR) that learns essentiality from</w:t>
      </w:r>
      <w:r>
        <w:t xml:space="preserve"> </w:t>
      </w:r>
      <w:r>
        <w:t xml:space="preserve">the transcriptomic</w:t>
      </w:r>
      <w:r>
        <w:t xml:space="preserve"> </w:t>
      </w:r>
      <w:r>
        <w:rPr>
          <w:i/>
          <w:iCs/>
        </w:rPr>
        <w:t xml:space="preserve">consequences</w:t>
      </w:r>
      <w:r>
        <w:t xml:space="preserve"> </w:t>
      </w:r>
      <w:r>
        <w:t xml:space="preserve">of perturbing many genes at once, in a</w:t>
      </w:r>
      <w:r>
        <w:t xml:space="preserve"> </w:t>
      </w:r>
      <w:r>
        <w:t xml:space="preserve">heterogeneous single-cell context — closer to the biological reality than any</w:t>
      </w:r>
      <w:r>
        <w:t xml:space="preserve"> </w:t>
      </w:r>
      <w:r>
        <w:t xml:space="preserve">global score.</w:t>
      </w:r>
    </w:p>
    <w:p>
      <w:pPr>
        <w:pStyle w:val="BodyText"/>
      </w:pPr>
      <w:r>
        <w:t xml:space="preserve">Deep learning offers the machinery to merge these: learn a mapping from</w:t>
      </w:r>
      <w:r>
        <w:t xml:space="preserve"> </w:t>
      </w:r>
      <w:r>
        <w:t xml:space="preserve">single-cell expression, sequence, and network features to functional essentiality</w:t>
      </w:r>
      <w:r>
        <w:t xml:space="preserve"> </w:t>
      </w:r>
      <w:r>
        <w:t xml:space="preserve">labels, thereby transferring the authority of DepMap/Project Score to any scRNA-seq</w:t>
      </w:r>
      <w:r>
        <w:t xml:space="preserve"> </w:t>
      </w:r>
      <w:r>
        <w:t xml:space="preserve">dataset. The principal risks are interpretability and label bias, which argue for</w:t>
      </w:r>
      <w:r>
        <w:t xml:space="preserve"> </w:t>
      </w:r>
      <w:r>
        <w:t xml:space="preserve">interpretable (GBM) baselines plus model-agnostic explanation, and for explicit</w:t>
      </w:r>
      <w:r>
        <w:t xml:space="preserve"> </w:t>
      </w:r>
      <w:r>
        <w:t xml:space="preserve">context modelling rather than a single global score.</w:t>
      </w:r>
    </w:p>
    <w:bookmarkEnd w:id="22"/>
    <w:bookmarkStart w:id="23" w:name="future-directions-ranked"/>
    <w:p>
      <w:pPr>
        <w:pStyle w:val="Heading1"/>
      </w:pPr>
      <w:r>
        <w:t xml:space="preserve">6. Future Directions (ranked)</w:t>
      </w:r>
    </w:p>
    <w:p>
      <w:pPr>
        <w:pStyle w:val="Compact"/>
        <w:numPr>
          <w:ilvl w:val="0"/>
          <w:numId w:val="1003"/>
        </w:numPr>
      </w:pPr>
      <w:r>
        <w:rPr>
          <w:b/>
          <w:bCs/>
        </w:rPr>
        <w:t xml:space="preserve">Learn the expression score against functional labels.</w:t>
      </w:r>
      <w:r>
        <w:t xml:space="preserve"> </w:t>
      </w:r>
      <w:r>
        <w:t xml:space="preserve">Replace the</w:t>
      </w:r>
      <w:r>
        <w:t xml:space="preserve"> </w:t>
      </w:r>
      <w:r>
        <w:t xml:space="preserve">hand-tuned</w:t>
      </w:r>
      <w:r>
        <w:t xml:space="preserve"> </w:t>
      </w:r>
      <w:r>
        <w:rPr>
          <w:rStyle w:val="VerbatimChar"/>
        </w:rPr>
        <w:t xml:space="preserve">detection × expr × stability</w:t>
      </w:r>
      <w:r>
        <w:t xml:space="preserve"> </w:t>
      </w:r>
      <w:r>
        <w:t xml:space="preserve">formula with a supervised model</w:t>
      </w:r>
      <w:r>
        <w:t xml:space="preserve"> </w:t>
      </w:r>
      <w:r>
        <w:t xml:space="preserve">(GBM → small DNN/GNN) trained on DepMap/Project Score labels from scRNA-derived</w:t>
      </w:r>
    </w:p>
    <w:p>
      <w:pPr>
        <w:pStyle w:val="Compact"/>
        <w:numPr>
          <w:ilvl w:val="1"/>
          <w:numId w:val="1004"/>
        </w:numPr>
      </w:pPr>
      <w:r>
        <w:t xml:space="preserve">network features.</w:t>
      </w:r>
      <w:r>
        <w:t xml:space="preserve"> </w:t>
      </w:r>
      <w:r>
        <w:rPr>
          <w:i/>
          <w:iCs/>
        </w:rPr>
        <w:t xml:space="preserve">Highest biological-value-to-effort.</w:t>
      </w:r>
    </w:p>
    <w:p>
      <w:pPr>
        <w:pStyle w:val="Compact"/>
        <w:numPr>
          <w:ilvl w:val="0"/>
          <w:numId w:val="1003"/>
        </w:numPr>
      </w:pPr>
      <w:r>
        <w:rPr>
          <w:b/>
          <w:bCs/>
        </w:rPr>
        <w:t xml:space="preserve">Context- / cell-type-conditional essentiality.</w:t>
      </w:r>
      <w:r>
        <w:t xml:space="preserve"> </w:t>
      </w:r>
      <w:r>
        <w:t xml:space="preserve">Output both pan-essential</w:t>
      </w:r>
      <w:r>
        <w:t xml:space="preserve"> </w:t>
      </w:r>
      <w:r>
        <w:t xml:space="preserve">and context-specific essentials (core-vs-context framing of ADAM/CoRe, using</w:t>
      </w:r>
      <w:r>
        <w:t xml:space="preserve"> </w:t>
      </w:r>
      <w:r>
        <w:t xml:space="preserve">CCLE covariates).</w:t>
      </w:r>
      <w:r>
        <w:t xml:space="preserve"> </w:t>
      </w:r>
      <w:r>
        <w:rPr>
          <w:i/>
          <w:iCs/>
        </w:rPr>
        <w:t xml:space="preserve">Biggest novelty increment.</w:t>
      </w:r>
    </w:p>
    <w:p>
      <w:pPr>
        <w:pStyle w:val="Compact"/>
        <w:numPr>
          <w:ilvl w:val="0"/>
          <w:numId w:val="1003"/>
        </w:numPr>
      </w:pPr>
      <w:r>
        <w:rPr>
          <w:b/>
          <w:bCs/>
        </w:rPr>
        <w:t xml:space="preserve">Network centrality / topology as an essentiality signal.</w:t>
      </w:r>
      <w:r>
        <w:t xml:space="preserve"> </w:t>
      </w:r>
      <w:r>
        <w:t xml:space="preserve">Replace or augment</w:t>
      </w:r>
      <w:r>
        <w:t xml:space="preserve"> </w:t>
      </w:r>
      <w:r>
        <w:t xml:space="preserve">stability with PPI/metabolic-network degree and centrality (EPGAT, FluxGAT,</w:t>
      </w:r>
      <w:r>
        <w:t xml:space="preserve"> </w:t>
      </w:r>
      <w:r>
        <w:t xml:space="preserve">topology-ML, scRoGG). Enables scoring of unexpressed genes.</w:t>
      </w:r>
    </w:p>
    <w:p>
      <w:pPr>
        <w:pStyle w:val="Compact"/>
        <w:numPr>
          <w:ilvl w:val="0"/>
          <w:numId w:val="1003"/>
        </w:numPr>
      </w:pPr>
      <w:r>
        <w:rPr>
          <w:b/>
          <w:bCs/>
        </w:rPr>
        <w:t xml:space="preserve">Sequence / DNA-LLM features.</w:t>
      </w:r>
      <w:r>
        <w:t xml:space="preserve"> </w:t>
      </w:r>
      <w:r>
        <w:t xml:space="preserve">Cover unexpressed genes and enable</w:t>
      </w:r>
      <w:r>
        <w:t xml:space="preserve"> </w:t>
      </w:r>
      <w:r>
        <w:t xml:space="preserve">cross-species transfer (EssTFNet, dnaHNet, ProteomeLM).</w:t>
      </w:r>
    </w:p>
    <w:p>
      <w:pPr>
        <w:pStyle w:val="Compact"/>
        <w:numPr>
          <w:ilvl w:val="0"/>
          <w:numId w:val="1003"/>
        </w:numPr>
      </w:pPr>
      <w:r>
        <w:rPr>
          <w:b/>
          <w:bCs/>
        </w:rPr>
        <w:t xml:space="preserve">Generative scCRISPR alignment.</w:t>
      </w:r>
      <w:r>
        <w:t xml:space="preserve"> </w:t>
      </w:r>
      <w:r>
        <w:t xml:space="preserve">Where scCRISPR data exist, align/validate</w:t>
      </w:r>
      <w:r>
        <w:t xml:space="preserve"> </w:t>
      </w:r>
      <w:r>
        <w:t xml:space="preserve">against scLAMBDA/PerturbNet-style generative essentiality to capture perturbation</w:t>
      </w:r>
      <w:r>
        <w:t xml:space="preserve"> </w:t>
      </w:r>
      <w:r>
        <w:t xml:space="preserve">response and heterogeneity.</w:t>
      </w:r>
    </w:p>
    <w:p>
      <w:pPr>
        <w:pStyle w:val="Compact"/>
        <w:numPr>
          <w:ilvl w:val="0"/>
          <w:numId w:val="1003"/>
        </w:numPr>
      </w:pPr>
      <w:r>
        <w:rPr>
          <w:b/>
          <w:bCs/>
        </w:rPr>
        <w:t xml:space="preserve">Co-essentiality modules.</w:t>
      </w:r>
      <w:r>
        <w:t xml:space="preserve"> </w:t>
      </w:r>
      <w:r>
        <w:t xml:space="preserve">Deliver functionally-enriched modules (with</w:t>
      </w:r>
      <w:r>
        <w:t xml:space="preserve"> </w:t>
      </w:r>
      <w:r>
        <w:t xml:space="preserve">GO/KEGG) instead of flat lists.</w:t>
      </w:r>
    </w:p>
    <w:p>
      <w:pPr>
        <w:pStyle w:val="Compact"/>
        <w:numPr>
          <w:ilvl w:val="0"/>
          <w:numId w:val="1003"/>
        </w:numPr>
      </w:pPr>
      <w:r>
        <w:rPr>
          <w:b/>
          <w:bCs/>
        </w:rPr>
        <w:t xml:space="preserve">Built-in benchmark suite.</w:t>
      </w:r>
      <w:r>
        <w:t xml:space="preserve"> </w:t>
      </w:r>
      <w:r>
        <w:t xml:space="preserve">Reproducibly report platform-consistency,</w:t>
      </w:r>
      <w:r>
        <w:t xml:space="preserve"> </w:t>
      </w:r>
      <w:r>
        <w:t xml:space="preserve">housekeeping/Panglao overlap, DepMap AUC, Hart/BEAN true-essential overlap, and</w:t>
      </w:r>
      <w:r>
        <w:t xml:space="preserve"> </w:t>
      </w:r>
      <w:r>
        <w:t xml:space="preserve">top-k enrichment — the measurement stick for every other improvement.</w:t>
      </w:r>
    </w:p>
    <w:bookmarkEnd w:id="23"/>
    <w:bookmarkStart w:id="24" w:name="recommended-roadmap-v2.0"/>
    <w:p>
      <w:pPr>
        <w:pStyle w:val="Heading1"/>
      </w:pPr>
      <w:r>
        <w:t xml:space="preserve">7. Recommended Roadmap (v2.0)</w:t>
      </w:r>
    </w:p>
    <w:p>
      <w:pPr>
        <w:pStyle w:val="Compact"/>
        <w:numPr>
          <w:ilvl w:val="0"/>
          <w:numId w:val="1005"/>
        </w:numPr>
      </w:pPr>
      <w:r>
        <w:t xml:space="preserve">Benchmark suite (enables measurement; anchor on DepMap + Hart/BEAN).</w:t>
      </w:r>
    </w:p>
    <w:p>
      <w:pPr>
        <w:pStyle w:val="Compact"/>
        <w:numPr>
          <w:ilvl w:val="0"/>
          <w:numId w:val="1005"/>
        </w:numPr>
      </w:pPr>
      <w:r>
        <w:t xml:space="preserve">Supervised score vs. DepMap/Project Score.</w:t>
      </w:r>
    </w:p>
    <w:p>
      <w:pPr>
        <w:pStyle w:val="Compact"/>
        <w:numPr>
          <w:ilvl w:val="0"/>
          <w:numId w:val="1005"/>
        </w:numPr>
      </w:pPr>
      <w:r>
        <w:t xml:space="preserve">Context-conditional essentiality (with CCLE covariates).</w:t>
      </w:r>
    </w:p>
    <w:p>
      <w:pPr>
        <w:pStyle w:val="Compact"/>
        <w:numPr>
          <w:ilvl w:val="0"/>
          <w:numId w:val="1005"/>
        </w:numPr>
      </w:pPr>
      <w:r>
        <w:t xml:space="preserve">Network- and module-based delivery (GNN / topology).</w:t>
      </w:r>
    </w:p>
    <w:p>
      <w:pPr>
        <w:pStyle w:val="Compact"/>
        <w:numPr>
          <w:ilvl w:val="0"/>
          <w:numId w:val="1005"/>
        </w:numPr>
      </w:pPr>
      <w:r>
        <w:t xml:space="preserve">DNA-LLM / cross-species (stretch).</w:t>
      </w:r>
    </w:p>
    <w:bookmarkEnd w:id="24"/>
    <w:bookmarkStart w:id="25" w:name="X857ac6d28bb025a3947393e3e79a0bba371abe5"/>
    <w:p>
      <w:pPr>
        <w:pStyle w:val="Heading1"/>
      </w:pPr>
      <w:r>
        <w:t xml:space="preserve">8. Verified Repository &amp; Dataset Annex (2026-08-18)</w:t>
      </w:r>
    </w:p>
    <w:p>
      <w:pPr>
        <w:pStyle w:val="FirstParagraph"/>
      </w:pPr>
      <w:r>
        <w:rPr>
          <w:b/>
          <w:bCs/>
        </w:rPr>
        <w:t xml:space="preserve">Repositories</w:t>
      </w:r>
      <w:r>
        <w:t xml:space="preserve"> </w:t>
      </w:r>
      <w:r>
        <w:t xml:space="preserve">| Repository | Category |</w:t>
      </w:r>
      <w:r>
        <w:t xml:space="preserve"> </w:t>
      </w:r>
      <w:r>
        <w:t xml:space="preserve">|———–|———-|</w:t>
      </w:r>
      <w:r>
        <w:t xml:space="preserve"> </w:t>
      </w:r>
      <w:r>
        <w:t xml:space="preserve">| huiwenzh/scEssentials, huiwenzh/scRoGG | expression-robust / co-expression |</w:t>
      </w:r>
      <w:r>
        <w:t xml:space="preserve"> </w:t>
      </w:r>
      <w:r>
        <w:t xml:space="preserve">| DepMap-Analytics/CoRe, DepMap-Analytics/ADAM2 | functional essentiality (R) |</w:t>
      </w:r>
      <w:r>
        <w:t xml:space="preserve"> </w:t>
      </w:r>
      <w:r>
        <w:t xml:space="preserve">| francescojm/ADAM, broadinstitute/depmap-portal | functional / portal |</w:t>
      </w:r>
      <w:r>
        <w:t xml:space="preserve"> </w:t>
      </w:r>
      <w:r>
        <w:t xml:space="preserve">| liulab-dfci/MAGeCK, WubingZhang/MAGeCKFlute | CRISPR upstream analysis |</w:t>
      </w:r>
      <w:r>
        <w:t xml:space="preserve"> </w:t>
      </w:r>
      <w:r>
        <w:t xml:space="preserve">| xzhang2016/DeepHE, xzhang2016/DeepSF | deep-learning essentiality |</w:t>
      </w:r>
      <w:r>
        <w:t xml:space="preserve"> </w:t>
      </w:r>
      <w:r>
        <w:t xml:space="preserve">| QIANJINYDX/EssTFNet, ucrbioinfo/DeeplyEssential | DNA-LLM / microbial DNN |</w:t>
      </w:r>
      <w:r>
        <w:t xml:space="preserve"> </w:t>
      </w:r>
      <w:r>
        <w:t xml:space="preserve">| alaa27/DeepVul, BioDataLearning/XGEP | transformer multi-task / lncRNA |</w:t>
      </w:r>
      <w:r>
        <w:t xml:space="preserve"> </w:t>
      </w:r>
      <w:r>
        <w:t xml:space="preserve">| Bitbol-Lab/ProteomeLM | protein language-model embeddings |</w:t>
      </w:r>
    </w:p>
    <w:p>
      <w:pPr>
        <w:pStyle w:val="BodyText"/>
      </w:pPr>
      <w:r>
        <w:rPr>
          <w:b/>
          <w:bCs/>
        </w:rPr>
        <w:t xml:space="preserve">Datasets</w:t>
      </w:r>
      <w:r>
        <w:t xml:space="preserve"> </w:t>
      </w:r>
      <w:r>
        <w:t xml:space="preserve">| Resource | Contents | Access |</w:t>
      </w:r>
      <w:r>
        <w:t xml:space="preserve"> </w:t>
      </w:r>
      <w:r>
        <w:t xml:space="preserve">|———-|———-|——–|</w:t>
      </w:r>
      <w:r>
        <w:t xml:space="preserve"> </w:t>
      </w:r>
      <w:r>
        <w:t xml:space="preserve">| DepMap / Project Achilles | ~1100 lines × 18k genes, CRISPR + RNAi | depmap.org/portal |</w:t>
      </w:r>
      <w:r>
        <w:t xml:space="preserve"> </w:t>
      </w:r>
      <w:r>
        <w:t xml:space="preserve">| Project Score (Sanger) | ~300+ lines, dependency scores | score.depmap.sanger.ac.uk |</w:t>
      </w:r>
      <w:r>
        <w:t xml:space="preserve"> </w:t>
      </w:r>
      <w:r>
        <w:t xml:space="preserve">| CCLE | ~1000 lines genomic covariates | sites.broadinstitute.org/ccle |</w:t>
      </w:r>
      <w:r>
        <w:t xml:space="preserve"> </w:t>
      </w:r>
      <w:r>
        <w:t xml:space="preserve">| DRIVE + Achilles RNAi | RNAi dependency cross-validation | DepMap portal |</w:t>
      </w:r>
      <w:r>
        <w:t xml:space="preserve"> </w:t>
      </w:r>
      <w:r>
        <w:t xml:space="preserve">| Keio (</w:t>
      </w:r>
      <w:r>
        <w:rPr>
          <w:i/>
          <w:iCs/>
        </w:rPr>
        <w:t xml:space="preserve">E. coli</w:t>
      </w:r>
      <w:r>
        <w:t xml:space="preserve">) | microbial essentiality gold standard | KHRI/NBRP |</w:t>
      </w:r>
      <w:r>
        <w:t xml:space="preserve"> </w:t>
      </w:r>
      <w:r>
        <w:t xml:space="preserve">| Hart / BEAN | curated</w:t>
      </w:r>
      <w:r>
        <w:t xml:space="preserve"> </w:t>
      </w:r>
      <w:r>
        <w:t xml:space="preserve">“true”</w:t>
      </w:r>
      <w:r>
        <w:t xml:space="preserve"> </w:t>
      </w:r>
      <w:r>
        <w:t xml:space="preserve">essential gene lists | DepMap downloads |</w:t>
      </w:r>
      <w:r>
        <w:t xml:space="preserve"> </w:t>
      </w:r>
      <w:r>
        <w:t xml:space="preserve">| Perturb-seq / scCRISPR | single-cell perturbation essentiality | GEO / Broad portal |</w:t>
      </w:r>
      <w:r>
        <w:t xml:space="preserve"> </w:t>
      </w:r>
      <w:r>
        <w:t xml:space="preserve">| GenomeRNAi | RNAi-based essentiality reference | genomernai.org |</w:t>
      </w:r>
      <w:r>
        <w:t xml:space="preserve"> </w:t>
      </w:r>
      <w:r>
        <w:t xml:space="preserve">| L1000 / CMAP | perturbational signatures | clue.io |</w:t>
      </w:r>
    </w:p>
    <w:bookmarkEnd w:id="25"/>
    <w:bookmarkStart w:id="31" w:name="references"/>
    <w:p>
      <w:pPr>
        <w:pStyle w:val="Heading1"/>
      </w:pPr>
      <w:r>
        <w:t xml:space="preserve">References</w:t>
      </w:r>
    </w:p>
    <w:bookmarkStart w:id="26" w:name="benchmarks-functional-essentiality"/>
    <w:p>
      <w:pPr>
        <w:pStyle w:val="Heading2"/>
      </w:pPr>
      <w:r>
        <w:t xml:space="preserve">Benchmarks &amp; functional essentiality</w:t>
      </w:r>
    </w:p>
    <w:p>
      <w:pPr>
        <w:pStyle w:val="Compact"/>
        <w:numPr>
          <w:ilvl w:val="0"/>
          <w:numId w:val="1006"/>
        </w:numPr>
      </w:pPr>
      <w:r>
        <w:t xml:space="preserve">Tsherniak A, et al. Defining a Cancer Dependency Map.</w:t>
      </w:r>
      <w:r>
        <w:t xml:space="preserve"> </w:t>
      </w:r>
      <w:r>
        <w:rPr>
          <w:i/>
          <w:iCs/>
        </w:rPr>
        <w:t xml:space="preserve">Cell</w:t>
      </w:r>
      <w:r>
        <w:t xml:space="preserve"> </w:t>
      </w:r>
      <w:r>
        <w:t xml:space="preserve">2017.</w:t>
      </w:r>
    </w:p>
    <w:p>
      <w:pPr>
        <w:pStyle w:val="Compact"/>
        <w:numPr>
          <w:ilvl w:val="0"/>
          <w:numId w:val="1006"/>
        </w:numPr>
      </w:pPr>
      <w:r>
        <w:t xml:space="preserve">Dempster JM, et al. Extracting biological insights from Project Achilles genome-scale</w:t>
      </w:r>
      <w:r>
        <w:t xml:space="preserve"> </w:t>
      </w:r>
      <w:r>
        <w:t xml:space="preserve">CRISPR screens in cancer cell lines.</w:t>
      </w:r>
      <w:r>
        <w:t xml:space="preserve"> </w:t>
      </w:r>
      <w:r>
        <w:rPr>
          <w:i/>
          <w:iCs/>
        </w:rPr>
        <w:t xml:space="preserve">Cancer Discov</w:t>
      </w:r>
      <w:r>
        <w:t xml:space="preserve"> </w:t>
      </w:r>
      <w:r>
        <w:t xml:space="preserve">2019. DOI:10.1158/2159-8290.CD-18-0834.</w:t>
      </w:r>
    </w:p>
    <w:p>
      <w:pPr>
        <w:pStyle w:val="Compact"/>
        <w:numPr>
          <w:ilvl w:val="0"/>
          <w:numId w:val="1006"/>
        </w:numPr>
      </w:pPr>
      <w:r>
        <w:t xml:space="preserve">Behan FM, et al. Prioritization of cancer therapeutic targets using CRISPR–Cas9</w:t>
      </w:r>
      <w:r>
        <w:t xml:space="preserve"> </w:t>
      </w:r>
      <w:r>
        <w:t xml:space="preserve">screens.</w:t>
      </w:r>
      <w:r>
        <w:t xml:space="preserve"> </w:t>
      </w:r>
      <w:r>
        <w:rPr>
          <w:i/>
          <w:iCs/>
        </w:rPr>
        <w:t xml:space="preserve">Nature</w:t>
      </w:r>
      <w:r>
        <w:t xml:space="preserve"> </w:t>
      </w:r>
      <w:r>
        <w:t xml:space="preserve">2019. DOI:10.1038/s41586-019-1103-9.</w:t>
      </w:r>
    </w:p>
    <w:p>
      <w:pPr>
        <w:pStyle w:val="Compact"/>
        <w:numPr>
          <w:ilvl w:val="0"/>
          <w:numId w:val="1006"/>
        </w:numPr>
      </w:pPr>
      <w:r>
        <w:t xml:space="preserve">Dwane L, et al. Project Score database.</w:t>
      </w:r>
      <w:r>
        <w:t xml:space="preserve"> </w:t>
      </w:r>
      <w:r>
        <w:rPr>
          <w:i/>
          <w:iCs/>
        </w:rPr>
        <w:t xml:space="preserve">Nucleic Acids Res</w:t>
      </w:r>
      <w:r>
        <w:t xml:space="preserve"> </w:t>
      </w:r>
      <w:r>
        <w:t xml:space="preserve">2020. DOI:10.1093/nar/gkaa882.</w:t>
      </w:r>
    </w:p>
    <w:p>
      <w:pPr>
        <w:pStyle w:val="Compact"/>
        <w:numPr>
          <w:ilvl w:val="0"/>
          <w:numId w:val="1006"/>
        </w:numPr>
      </w:pPr>
      <w:r>
        <w:t xml:space="preserve">Barretina J, et al. The Cancer Cell Line Encyclopedia (CCLE).</w:t>
      </w:r>
      <w:r>
        <w:t xml:space="preserve"> </w:t>
      </w:r>
      <w:r>
        <w:rPr>
          <w:i/>
          <w:iCs/>
        </w:rPr>
        <w:t xml:space="preserve">Nature</w:t>
      </w:r>
      <w:r>
        <w:t xml:space="preserve"> </w:t>
      </w:r>
      <w:r>
        <w:t xml:space="preserve">2012. DOI:10.1038/nature11003.</w:t>
      </w:r>
    </w:p>
    <w:p>
      <w:pPr>
        <w:pStyle w:val="Compact"/>
        <w:numPr>
          <w:ilvl w:val="0"/>
          <w:numId w:val="1006"/>
        </w:numPr>
      </w:pPr>
      <w:r>
        <w:t xml:space="preserve">McDonald ER, et al. Project DRIVE.</w:t>
      </w:r>
      <w:r>
        <w:t xml:space="preserve"> </w:t>
      </w:r>
      <w:r>
        <w:rPr>
          <w:i/>
          <w:iCs/>
        </w:rPr>
        <w:t xml:space="preserve">Cell</w:t>
      </w:r>
      <w:r>
        <w:t xml:space="preserve"> </w:t>
      </w:r>
      <w:r>
        <w:t xml:space="preserve">2017. DOI:10.1016/j.cell.2017.05.006.</w:t>
      </w:r>
    </w:p>
    <w:p>
      <w:pPr>
        <w:pStyle w:val="Compact"/>
        <w:numPr>
          <w:ilvl w:val="0"/>
          <w:numId w:val="1006"/>
        </w:numPr>
      </w:pPr>
      <w:r>
        <w:t xml:space="preserve">Baba T, et al. Keio collection.</w:t>
      </w:r>
      <w:r>
        <w:t xml:space="preserve"> </w:t>
      </w:r>
      <w:r>
        <w:rPr>
          <w:i/>
          <w:iCs/>
        </w:rPr>
        <w:t xml:space="preserve">Mol Syst Biol</w:t>
      </w:r>
      <w:r>
        <w:t xml:space="preserve"> </w:t>
      </w:r>
      <w:r>
        <w:t xml:space="preserve">2006. DOI:10.1038/msb4100050.</w:t>
      </w:r>
    </w:p>
    <w:p>
      <w:pPr>
        <w:pStyle w:val="Compact"/>
        <w:numPr>
          <w:ilvl w:val="0"/>
          <w:numId w:val="1006"/>
        </w:numPr>
      </w:pPr>
      <w:r>
        <w:t xml:space="preserve">Schmidt EE, et al. GenomeRNAi.</w:t>
      </w:r>
      <w:r>
        <w:t xml:space="preserve"> </w:t>
      </w:r>
      <w:r>
        <w:rPr>
          <w:i/>
          <w:iCs/>
        </w:rPr>
        <w:t xml:space="preserve">Nucleic Acids Res</w:t>
      </w:r>
      <w:r>
        <w:t xml:space="preserve"> </w:t>
      </w:r>
      <w:r>
        <w:t xml:space="preserve">2013. DOI:10.1093/nar/gks1171.</w:t>
      </w:r>
    </w:p>
    <w:p>
      <w:pPr>
        <w:pStyle w:val="Compact"/>
        <w:numPr>
          <w:ilvl w:val="0"/>
          <w:numId w:val="1006"/>
        </w:numPr>
      </w:pPr>
      <w:r>
        <w:t xml:space="preserve">Dixit A, et al. Perturb-Seq.</w:t>
      </w:r>
      <w:r>
        <w:t xml:space="preserve"> </w:t>
      </w:r>
      <w:r>
        <w:rPr>
          <w:i/>
          <w:iCs/>
        </w:rPr>
        <w:t xml:space="preserve">Cell</w:t>
      </w:r>
      <w:r>
        <w:t xml:space="preserve"> </w:t>
      </w:r>
      <w:r>
        <w:t xml:space="preserve">2016. DOI:10.1016/j.cell.2016.11.038.</w:t>
      </w:r>
    </w:p>
    <w:p>
      <w:pPr>
        <w:pStyle w:val="Compact"/>
        <w:numPr>
          <w:ilvl w:val="0"/>
          <w:numId w:val="1006"/>
        </w:numPr>
      </w:pPr>
      <w:r>
        <w:t xml:space="preserve">Subramanian A, et al. L1000/CMAP.</w:t>
      </w:r>
      <w:r>
        <w:t xml:space="preserve"> </w:t>
      </w:r>
      <w:r>
        <w:rPr>
          <w:i/>
          <w:iCs/>
        </w:rPr>
        <w:t xml:space="preserve">Cell</w:t>
      </w:r>
      <w:r>
        <w:t xml:space="preserve"> </w:t>
      </w:r>
      <w:r>
        <w:t xml:space="preserve">2017. DOI:10.1016/j.cell.2017.10.049.</w:t>
      </w:r>
    </w:p>
    <w:bookmarkEnd w:id="26"/>
    <w:bookmarkStart w:id="27" w:name="inference-models"/>
    <w:p>
      <w:pPr>
        <w:pStyle w:val="Heading2"/>
      </w:pPr>
      <w:r>
        <w:t xml:space="preserve">Inference models</w:t>
      </w:r>
    </w:p>
    <w:p>
      <w:pPr>
        <w:pStyle w:val="Compact"/>
        <w:numPr>
          <w:ilvl w:val="0"/>
          <w:numId w:val="1007"/>
        </w:numPr>
      </w:pPr>
      <w:r>
        <w:t xml:space="preserve">Dempster JM, et al. Chronos.</w:t>
      </w:r>
      <w:r>
        <w:t xml:space="preserve"> </w:t>
      </w:r>
      <w:r>
        <w:rPr>
          <w:i/>
          <w:iCs/>
        </w:rPr>
        <w:t xml:space="preserve">Genome Biol</w:t>
      </w:r>
      <w:r>
        <w:t xml:space="preserve"> </w:t>
      </w:r>
      <w:r>
        <w:t xml:space="preserve">2021. DOI:10.1186/s13059-021-02540-7.</w:t>
      </w:r>
    </w:p>
    <w:p>
      <w:pPr>
        <w:pStyle w:val="Compact"/>
        <w:numPr>
          <w:ilvl w:val="0"/>
          <w:numId w:val="1007"/>
        </w:numPr>
      </w:pPr>
      <w:r>
        <w:t xml:space="preserve">Hutton ER, et al. ACE.</w:t>
      </w:r>
      <w:r>
        <w:t xml:space="preserve"> </w:t>
      </w:r>
      <w:r>
        <w:rPr>
          <w:i/>
          <w:iCs/>
        </w:rPr>
        <w:t xml:space="preserve">Genome Biol</w:t>
      </w:r>
      <w:r>
        <w:t xml:space="preserve"> </w:t>
      </w:r>
      <w:r>
        <w:t xml:space="preserve">2021. DOI:10.1186/s13059-021-02491-z.</w:t>
      </w:r>
    </w:p>
    <w:p>
      <w:pPr>
        <w:pStyle w:val="Compact"/>
        <w:numPr>
          <w:ilvl w:val="0"/>
          <w:numId w:val="1007"/>
        </w:numPr>
      </w:pPr>
      <w:r>
        <w:t xml:space="preserve">Yang et al. High-resolution scCRISPR tiling.</w:t>
      </w:r>
      <w:r>
        <w:t xml:space="preserve"> </w:t>
      </w:r>
      <w:r>
        <w:rPr>
          <w:i/>
          <w:iCs/>
        </w:rPr>
        <w:t xml:space="preserve">Nat Commun</w:t>
      </w:r>
      <w:r>
        <w:t xml:space="preserve"> </w:t>
      </w:r>
      <w:r>
        <w:t xml:space="preserve">2021. DOI:10.1038/s41467-021-24324-0.</w:t>
      </w:r>
    </w:p>
    <w:p>
      <w:pPr>
        <w:pStyle w:val="Compact"/>
        <w:numPr>
          <w:ilvl w:val="0"/>
          <w:numId w:val="1007"/>
        </w:numPr>
      </w:pPr>
      <w:r>
        <w:t xml:space="preserve">Zhao Y, Zhang M, Yang D. Bioinformatics approaches to CRISPR screen data.</w:t>
      </w:r>
      <w:r>
        <w:t xml:space="preserve"> </w:t>
      </w:r>
      <w:r>
        <w:rPr>
          <w:i/>
          <w:iCs/>
        </w:rPr>
        <w:t xml:space="preserve">Quant Biol</w:t>
      </w:r>
    </w:p>
    <w:p>
      <w:pPr>
        <w:pStyle w:val="Compact"/>
        <w:numPr>
          <w:ilvl w:val="1"/>
          <w:numId w:val="1008"/>
        </w:numPr>
      </w:pPr>
      <w:r>
        <w:t xml:space="preserve">DOI:10.15302/j-qb-022-0299.</w:t>
      </w:r>
    </w:p>
    <w:bookmarkEnd w:id="27"/>
    <w:bookmarkStart w:id="28" w:name="generative-sccrispr"/>
    <w:p>
      <w:pPr>
        <w:pStyle w:val="Heading2"/>
      </w:pPr>
      <w:r>
        <w:t xml:space="preserve">Generative / scCRISPR</w:t>
      </w:r>
    </w:p>
    <w:p>
      <w:pPr>
        <w:pStyle w:val="Compact"/>
        <w:numPr>
          <w:ilvl w:val="0"/>
          <w:numId w:val="1009"/>
        </w:numPr>
      </w:pPr>
      <w:r>
        <w:t xml:space="preserve">Wang et al. scLAMBDA.</w:t>
      </w:r>
      <w:r>
        <w:t xml:space="preserve"> </w:t>
      </w:r>
      <w:r>
        <w:rPr>
          <w:i/>
          <w:iCs/>
        </w:rPr>
        <w:t xml:space="preserve">bioRxiv</w:t>
      </w:r>
      <w:r>
        <w:t xml:space="preserve"> </w:t>
      </w:r>
      <w:r>
        <w:t xml:space="preserve">2024. DOI:10.1101/2024.12.04.626878.</w:t>
      </w:r>
    </w:p>
    <w:p>
      <w:pPr>
        <w:pStyle w:val="Compact"/>
        <w:numPr>
          <w:ilvl w:val="0"/>
          <w:numId w:val="1009"/>
        </w:numPr>
      </w:pPr>
      <w:r>
        <w:t xml:space="preserve">Yu et al. PerturbNet.</w:t>
      </w:r>
      <w:r>
        <w:t xml:space="preserve"> </w:t>
      </w:r>
      <w:r>
        <w:rPr>
          <w:i/>
          <w:iCs/>
        </w:rPr>
        <w:t xml:space="preserve">Mol Syst Biol</w:t>
      </w:r>
      <w:r>
        <w:t xml:space="preserve"> </w:t>
      </w:r>
      <w:r>
        <w:t xml:space="preserve">2025. DOI:10.1038/s44320-025-00131-3.</w:t>
      </w:r>
    </w:p>
    <w:bookmarkEnd w:id="28"/>
    <w:bookmarkStart w:id="29" w:name="deep-learning-predictors-arxiv-verified"/>
    <w:p>
      <w:pPr>
        <w:pStyle w:val="Heading2"/>
      </w:pPr>
      <w:r>
        <w:t xml:space="preserve">Deep-learning predictors (arXiv-verified)</w:t>
      </w:r>
    </w:p>
    <w:p>
      <w:pPr>
        <w:pStyle w:val="Compact"/>
        <w:numPr>
          <w:ilvl w:val="0"/>
          <w:numId w:val="1010"/>
        </w:numPr>
      </w:pPr>
      <w:r>
        <w:t xml:space="preserve">Schapke, Tavares, Recamonde-Mendoza. EPGAT.</w:t>
      </w:r>
      <w:r>
        <w:t xml:space="preserve"> </w:t>
      </w:r>
      <w:r>
        <w:rPr>
          <w:i/>
          <w:iCs/>
        </w:rPr>
        <w:t xml:space="preserve">arXiv:2007.09671</w:t>
      </w:r>
      <w:r>
        <w:t xml:space="preserve"> </w:t>
      </w:r>
      <w:r>
        <w:t xml:space="preserve">(2020).</w:t>
      </w:r>
    </w:p>
    <w:p>
      <w:pPr>
        <w:pStyle w:val="Compact"/>
        <w:numPr>
          <w:ilvl w:val="0"/>
          <w:numId w:val="1010"/>
        </w:numPr>
      </w:pPr>
      <w:r>
        <w:t xml:space="preserve">Sharma, Marucci, Abdallah. FluxGAT.</w:t>
      </w:r>
      <w:r>
        <w:t xml:space="preserve"> </w:t>
      </w:r>
      <w:r>
        <w:rPr>
          <w:i/>
          <w:iCs/>
        </w:rPr>
        <w:t xml:space="preserve">arXiv:2403.18666</w:t>
      </w:r>
      <w:r>
        <w:t xml:space="preserve"> </w:t>
      </w:r>
      <w:r>
        <w:t xml:space="preserve">(2024).</w:t>
      </w:r>
    </w:p>
    <w:p>
      <w:pPr>
        <w:pStyle w:val="Compact"/>
        <w:numPr>
          <w:ilvl w:val="0"/>
          <w:numId w:val="1010"/>
        </w:numPr>
      </w:pPr>
      <w:r>
        <w:t xml:space="preserve">Zhang, Cheng. DeepHEN.</w:t>
      </w:r>
      <w:r>
        <w:t xml:space="preserve"> </w:t>
      </w:r>
      <w:r>
        <w:rPr>
          <w:i/>
          <w:iCs/>
        </w:rPr>
        <w:t xml:space="preserve">arXiv:2309.10008</w:t>
      </w:r>
      <w:r>
        <w:t xml:space="preserve"> </w:t>
      </w:r>
      <w:r>
        <w:t xml:space="preserve">(2023).</w:t>
      </w:r>
    </w:p>
    <w:p>
      <w:pPr>
        <w:pStyle w:val="Compact"/>
        <w:numPr>
          <w:ilvl w:val="0"/>
          <w:numId w:val="1010"/>
        </w:numPr>
      </w:pPr>
      <w:r>
        <w:t xml:space="preserve">Bodinier et al. LeAP.</w:t>
      </w:r>
      <w:r>
        <w:t xml:space="preserve"> </w:t>
      </w:r>
      <w:r>
        <w:rPr>
          <w:i/>
          <w:iCs/>
        </w:rPr>
        <w:t xml:space="preserve">arXiv:2502.15646</w:t>
      </w:r>
      <w:r>
        <w:t xml:space="preserve"> </w:t>
      </w:r>
      <w:r>
        <w:t xml:space="preserve">(2025).</w:t>
      </w:r>
    </w:p>
    <w:p>
      <w:pPr>
        <w:pStyle w:val="Compact"/>
        <w:numPr>
          <w:ilvl w:val="0"/>
          <w:numId w:val="1010"/>
        </w:numPr>
      </w:pPr>
      <w:r>
        <w:t xml:space="preserve">Boone. Topology-based metabolic essentiality ML.</w:t>
      </w:r>
      <w:r>
        <w:t xml:space="preserve"> </w:t>
      </w:r>
      <w:r>
        <w:rPr>
          <w:i/>
          <w:iCs/>
        </w:rPr>
        <w:t xml:space="preserve">arXiv:2507.20406</w:t>
      </w:r>
      <w:r>
        <w:t xml:space="preserve"> </w:t>
      </w:r>
      <w:r>
        <w:t xml:space="preserve">(2025).</w:t>
      </w:r>
    </w:p>
    <w:p>
      <w:pPr>
        <w:pStyle w:val="Compact"/>
        <w:numPr>
          <w:ilvl w:val="0"/>
          <w:numId w:val="1010"/>
        </w:numPr>
      </w:pPr>
      <w:r>
        <w:t xml:space="preserve">Zhan, Zhang, Wang. Multiplex-network perturbation DL.</w:t>
      </w:r>
      <w:r>
        <w:t xml:space="preserve"> </w:t>
      </w:r>
      <w:r>
        <w:rPr>
          <w:i/>
          <w:iCs/>
        </w:rPr>
        <w:t xml:space="preserve">arXiv:2403.02724</w:t>
      </w:r>
      <w:r>
        <w:t xml:space="preserve"> </w:t>
      </w:r>
      <w:r>
        <w:t xml:space="preserve">(2024).</w:t>
      </w:r>
    </w:p>
    <w:p>
      <w:pPr>
        <w:pStyle w:val="Compact"/>
        <w:numPr>
          <w:ilvl w:val="0"/>
          <w:numId w:val="1010"/>
        </w:numPr>
      </w:pPr>
      <w:r>
        <w:t xml:space="preserve">Alkhadrawi et al. Explainable DL for target prioritisation.</w:t>
      </w:r>
      <w:r>
        <w:t xml:space="preserve"> </w:t>
      </w:r>
      <w:r>
        <w:rPr>
          <w:i/>
          <w:iCs/>
        </w:rPr>
        <w:t xml:space="preserve">arXiv:2511.12463</w:t>
      </w:r>
      <w:r>
        <w:t xml:space="preserve"> </w:t>
      </w:r>
      <w:r>
        <w:t xml:space="preserve">(2025).</w:t>
      </w:r>
    </w:p>
    <w:p>
      <w:pPr>
        <w:pStyle w:val="Compact"/>
        <w:numPr>
          <w:ilvl w:val="0"/>
          <w:numId w:val="1010"/>
        </w:numPr>
      </w:pPr>
      <w:r>
        <w:t xml:space="preserve">Mansouri-Rad, Narimani, Razzaghi. EssentialGIN.</w:t>
      </w:r>
      <w:r>
        <w:t xml:space="preserve"> </w:t>
      </w:r>
      <w:r>
        <w:rPr>
          <w:i/>
          <w:iCs/>
        </w:rPr>
        <w:t xml:space="preserve">arXiv:2606.07700</w:t>
      </w:r>
      <w:r>
        <w:t xml:space="preserve"> </w:t>
      </w:r>
      <w:r>
        <w:t xml:space="preserve">(2026).</w:t>
      </w:r>
    </w:p>
    <w:p>
      <w:pPr>
        <w:pStyle w:val="Compact"/>
        <w:numPr>
          <w:ilvl w:val="0"/>
          <w:numId w:val="1010"/>
        </w:numPr>
      </w:pPr>
      <w:r>
        <w:t xml:space="preserve">Zhan. Genome-scale deep model on multiplex networks.</w:t>
      </w:r>
      <w:r>
        <w:t xml:space="preserve"> </w:t>
      </w:r>
      <w:r>
        <w:rPr>
          <w:i/>
          <w:iCs/>
        </w:rPr>
        <w:t xml:space="preserve">arXiv:2403.02724</w:t>
      </w:r>
      <w:r>
        <w:t xml:space="preserve"> </w:t>
      </w:r>
      <w:r>
        <w:t xml:space="preserve">(2024).</w:t>
      </w:r>
    </w:p>
    <w:p>
      <w:pPr>
        <w:pStyle w:val="Compact"/>
        <w:numPr>
          <w:ilvl w:val="0"/>
          <w:numId w:val="1010"/>
        </w:numPr>
      </w:pPr>
      <w:r>
        <w:t xml:space="preserve">Xiao, Zheng, Li. MetaGEM.</w:t>
      </w:r>
      <w:r>
        <w:t xml:space="preserve"> </w:t>
      </w:r>
      <w:r>
        <w:rPr>
          <w:i/>
          <w:iCs/>
        </w:rPr>
        <w:t xml:space="preserve">arXiv:2605.14812</w:t>
      </w:r>
      <w:r>
        <w:t xml:space="preserve"> </w:t>
      </w:r>
      <w:r>
        <w:t xml:space="preserve">(2026).</w:t>
      </w:r>
    </w:p>
    <w:p>
      <w:pPr>
        <w:pStyle w:val="Compact"/>
        <w:numPr>
          <w:ilvl w:val="0"/>
          <w:numId w:val="1010"/>
        </w:numPr>
      </w:pPr>
      <w:r>
        <w:t xml:space="preserve">Shah, Li. dnaHNet.</w:t>
      </w:r>
      <w:r>
        <w:t xml:space="preserve"> </w:t>
      </w:r>
      <w:r>
        <w:rPr>
          <w:i/>
          <w:iCs/>
        </w:rPr>
        <w:t xml:space="preserve">arXiv:2602.10603</w:t>
      </w:r>
      <w:r>
        <w:t xml:space="preserve"> </w:t>
      </w:r>
      <w:r>
        <w:t xml:space="preserve">(2026).</w:t>
      </w:r>
    </w:p>
    <w:bookmarkEnd w:id="29"/>
    <w:bookmarkStart w:id="30" w:name="others-from-direct-search"/>
    <w:p>
      <w:pPr>
        <w:pStyle w:val="Heading2"/>
      </w:pPr>
      <w:r>
        <w:t xml:space="preserve">Others (from direct search)</w:t>
      </w:r>
    </w:p>
    <w:p>
      <w:pPr>
        <w:pStyle w:val="Compact"/>
        <w:numPr>
          <w:ilvl w:val="0"/>
          <w:numId w:val="1011"/>
        </w:numPr>
      </w:pPr>
      <w:r>
        <w:t xml:space="preserve">Zhang, Cheng. DeepHEM.</w:t>
      </w:r>
      <w:r>
        <w:t xml:space="preserve"> </w:t>
      </w:r>
      <w:r>
        <w:rPr>
          <w:i/>
          <w:iCs/>
        </w:rPr>
        <w:t xml:space="preserve">Mol Ther</w:t>
      </w:r>
      <w:r>
        <w:t xml:space="preserve"> </w:t>
      </w:r>
      <w:r>
        <w:t xml:space="preserve">2025. DOI:10.1016/j.ymthe.2025.11.018.</w:t>
      </w:r>
    </w:p>
    <w:p>
      <w:pPr>
        <w:pStyle w:val="Compact"/>
        <w:numPr>
          <w:ilvl w:val="0"/>
          <w:numId w:val="1011"/>
        </w:numPr>
      </w:pPr>
      <w:r>
        <w:t xml:space="preserve">Gene essentiality via chaos-game representation + spiking NN.</w:t>
      </w:r>
      <w:r>
        <w:t xml:space="preserve"> </w:t>
      </w:r>
      <w:r>
        <w:rPr>
          <w:i/>
          <w:iCs/>
        </w:rPr>
        <w:t xml:space="preserve">Chaos Solitons Fractals</w:t>
      </w:r>
    </w:p>
    <w:p>
      <w:pPr>
        <w:pStyle w:val="Compact"/>
        <w:numPr>
          <w:ilvl w:val="1"/>
          <w:numId w:val="1012"/>
        </w:numPr>
      </w:pPr>
      <w:r>
        <w:t xml:space="preserve">DOI:10.1016/j.chaos.2021.110649.</w:t>
      </w:r>
    </w:p>
    <w:p>
      <w:pPr>
        <w:pStyle w:val="Compact"/>
        <w:numPr>
          <w:ilvl w:val="0"/>
          <w:numId w:val="1011"/>
        </w:numPr>
      </w:pPr>
      <w:r>
        <w:t xml:space="preserve">Deep gene essentiality based on population/functions.</w:t>
      </w:r>
      <w:r>
        <w:t xml:space="preserve"> </w:t>
      </w:r>
      <w:r>
        <w:rPr>
          <w:i/>
          <w:iCs/>
        </w:rPr>
        <w:t xml:space="preserve">bioRxiv</w:t>
      </w:r>
      <w:r>
        <w:t xml:space="preserve"> </w:t>
      </w:r>
      <w:r>
        <w:t xml:space="preserve">2021. DOI:10.1101/2021.12.21.473690.</w:t>
      </w:r>
    </w:p>
    <w:p>
      <w:pPr>
        <w:pStyle w:val="Compact"/>
        <w:numPr>
          <w:ilvl w:val="0"/>
          <w:numId w:val="1011"/>
        </w:numPr>
      </w:pPr>
      <w:r>
        <w:t xml:space="preserve">DeEPsnap (multi-omics essentiality).</w:t>
      </w:r>
      <w:r>
        <w:t xml:space="preserve"> </w:t>
      </w:r>
      <w:r>
        <w:rPr>
          <w:i/>
          <w:iCs/>
        </w:rPr>
        <w:t xml:space="preserve">bioRxiv</w:t>
      </w:r>
      <w:r>
        <w:t xml:space="preserve"> </w:t>
      </w:r>
      <w:r>
        <w:t xml:space="preserve">2024. DOI:10.1101/2024.06.20.599958.</w:t>
      </w:r>
    </w:p>
    <w:p>
      <w:pPr>
        <w:pStyle w:val="Compact"/>
        <w:numPr>
          <w:ilvl w:val="0"/>
          <w:numId w:val="1011"/>
        </w:numPr>
      </w:pPr>
      <w:r>
        <w:t xml:space="preserve">Deep learning-based representation methods for survival &amp; essentiality.</w:t>
      </w:r>
      <w:r>
        <w:t xml:space="preserve"> </w:t>
      </w:r>
      <w:r>
        <w:rPr>
          <w:i/>
          <w:iCs/>
        </w:rPr>
        <w:t xml:space="preserve">Sci Rep</w:t>
      </w:r>
    </w:p>
    <w:p>
      <w:pPr>
        <w:pStyle w:val="Compact"/>
        <w:numPr>
          <w:ilvl w:val="1"/>
          <w:numId w:val="1013"/>
        </w:numPr>
      </w:pPr>
      <w:r>
        <w:t xml:space="preserve">DOI:10.1038/s41598-024-67023-8.</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022">
    <w:nsid w:val="A99412022"/>
    <w:multiLevelType w:val="multilevel"/>
    <w:lvl w:ilvl="0">
      <w:start w:val="2022"/>
      <w:numFmt w:val="decimal"/>
      <w:lvlText w:val="%1."/>
      <w:lvlJc w:val="left"/>
      <w:pPr>
        <w:ind w:left="720" w:hanging="360"/>
      </w:pPr>
    </w:lvl>
    <w:lvl w:ilvl="1">
      <w:start w:val="2022"/>
      <w:numFmt w:val="decimal"/>
      <w:lvlText w:val="%2."/>
      <w:lvlJc w:val="left"/>
      <w:pPr>
        <w:ind w:left="1440" w:hanging="360"/>
      </w:pPr>
    </w:lvl>
    <w:lvl w:ilvl="2">
      <w:start w:val="2022"/>
      <w:numFmt w:val="decimal"/>
      <w:lvlText w:val="%3."/>
      <w:lvlJc w:val="left"/>
      <w:pPr>
        <w:ind w:left="2160" w:hanging="360"/>
      </w:pPr>
    </w:lvl>
    <w:lvl w:ilvl="3">
      <w:start w:val="2022"/>
      <w:numFmt w:val="decimal"/>
      <w:lvlText w:val="%4."/>
      <w:lvlJc w:val="left"/>
      <w:pPr>
        <w:ind w:left="2880" w:hanging="360"/>
      </w:pPr>
    </w:lvl>
    <w:lvl w:ilvl="4">
      <w:start w:val="2022"/>
      <w:numFmt w:val="decimal"/>
      <w:lvlText w:val="%5."/>
      <w:lvlJc w:val="left"/>
      <w:pPr>
        <w:ind w:left="3600" w:hanging="360"/>
      </w:pPr>
    </w:lvl>
    <w:lvl w:ilvl="5">
      <w:start w:val="2022"/>
      <w:numFmt w:val="decimal"/>
      <w:lvlText w:val="%6."/>
      <w:lvlJc w:val="left"/>
      <w:pPr>
        <w:ind w:left="4320" w:hanging="360"/>
      </w:pPr>
    </w:lvl>
    <w:lvl w:ilvl="6">
      <w:start w:val="2022"/>
      <w:numFmt w:val="decimal"/>
      <w:lvlText w:val="%7."/>
      <w:lvlJc w:val="left"/>
      <w:pPr>
        <w:ind w:left="5040" w:hanging="360"/>
      </w:pPr>
    </w:lvl>
    <w:lvl w:ilvl="7">
      <w:start w:val="2022"/>
      <w:numFmt w:val="decimal"/>
      <w:lvlText w:val="%8."/>
      <w:lvlJc w:val="left"/>
      <w:pPr>
        <w:ind w:left="5760" w:hanging="360"/>
      </w:pPr>
    </w:lvl>
    <w:lvl w:ilvl="8">
      <w:start w:val="2022"/>
      <w:numFmt w:val="decimal"/>
      <w:lvlText w:val="%9."/>
      <w:lvlJc w:val="left"/>
      <w:pPr>
        <w:ind w:left="6480" w:hanging="360"/>
      </w:pPr>
    </w:lvl>
  </w:abstractNum>
  <w:abstractNum w:abstractNumId="99412021">
    <w:nsid w:val="A99412021"/>
    <w:multiLevelType w:val="multilevel"/>
    <w:lvl w:ilvl="0">
      <w:start w:val="2021"/>
      <w:numFmt w:val="decimal"/>
      <w:lvlText w:val="%1."/>
      <w:lvlJc w:val="left"/>
      <w:pPr>
        <w:ind w:left="720" w:hanging="360"/>
      </w:pPr>
    </w:lvl>
    <w:lvl w:ilvl="1">
      <w:start w:val="2021"/>
      <w:numFmt w:val="decimal"/>
      <w:lvlText w:val="%2."/>
      <w:lvlJc w:val="left"/>
      <w:pPr>
        <w:ind w:left="1440" w:hanging="360"/>
      </w:pPr>
    </w:lvl>
    <w:lvl w:ilvl="2">
      <w:start w:val="2021"/>
      <w:numFmt w:val="decimal"/>
      <w:lvlText w:val="%3."/>
      <w:lvlJc w:val="left"/>
      <w:pPr>
        <w:ind w:left="2160" w:hanging="360"/>
      </w:pPr>
    </w:lvl>
    <w:lvl w:ilvl="3">
      <w:start w:val="2021"/>
      <w:numFmt w:val="decimal"/>
      <w:lvlText w:val="%4."/>
      <w:lvlJc w:val="left"/>
      <w:pPr>
        <w:ind w:left="2880" w:hanging="360"/>
      </w:pPr>
    </w:lvl>
    <w:lvl w:ilvl="4">
      <w:start w:val="2021"/>
      <w:numFmt w:val="decimal"/>
      <w:lvlText w:val="%5."/>
      <w:lvlJc w:val="left"/>
      <w:pPr>
        <w:ind w:left="3600" w:hanging="360"/>
      </w:pPr>
    </w:lvl>
    <w:lvl w:ilvl="5">
      <w:start w:val="2021"/>
      <w:numFmt w:val="decimal"/>
      <w:lvlText w:val="%6."/>
      <w:lvlJc w:val="left"/>
      <w:pPr>
        <w:ind w:left="4320" w:hanging="360"/>
      </w:pPr>
    </w:lvl>
    <w:lvl w:ilvl="6">
      <w:start w:val="2021"/>
      <w:numFmt w:val="decimal"/>
      <w:lvlText w:val="%7."/>
      <w:lvlJc w:val="left"/>
      <w:pPr>
        <w:ind w:left="5040" w:hanging="360"/>
      </w:pPr>
    </w:lvl>
    <w:lvl w:ilvl="7">
      <w:start w:val="2021"/>
      <w:numFmt w:val="decimal"/>
      <w:lvlText w:val="%8."/>
      <w:lvlJc w:val="left"/>
      <w:pPr>
        <w:ind w:left="5760" w:hanging="360"/>
      </w:pPr>
    </w:lvl>
    <w:lvl w:ilvl="8">
      <w:start w:val="2021"/>
      <w:numFmt w:val="decimal"/>
      <w:lvlText w:val="%9."/>
      <w:lvlJc w:val="left"/>
      <w:pPr>
        <w:ind w:left="6480" w:hanging="360"/>
      </w:pPr>
    </w:lvl>
  </w:abstractNum>
  <w:abstractNum w:abstractNumId="99412024">
    <w:nsid w:val="A99412024"/>
    <w:multiLevelType w:val="multilevel"/>
    <w:lvl w:ilvl="0">
      <w:start w:val="2024"/>
      <w:numFmt w:val="decimal"/>
      <w:lvlText w:val="%1."/>
      <w:lvlJc w:val="left"/>
      <w:pPr>
        <w:ind w:left="720" w:hanging="360"/>
      </w:pPr>
    </w:lvl>
    <w:lvl w:ilvl="1">
      <w:start w:val="2024"/>
      <w:numFmt w:val="decimal"/>
      <w:lvlText w:val="%2."/>
      <w:lvlJc w:val="left"/>
      <w:pPr>
        <w:ind w:left="1440" w:hanging="360"/>
      </w:pPr>
    </w:lvl>
    <w:lvl w:ilvl="2">
      <w:start w:val="2024"/>
      <w:numFmt w:val="decimal"/>
      <w:lvlText w:val="%3."/>
      <w:lvlJc w:val="left"/>
      <w:pPr>
        <w:ind w:left="2160" w:hanging="360"/>
      </w:pPr>
    </w:lvl>
    <w:lvl w:ilvl="3">
      <w:start w:val="2024"/>
      <w:numFmt w:val="decimal"/>
      <w:lvlText w:val="%4."/>
      <w:lvlJc w:val="left"/>
      <w:pPr>
        <w:ind w:left="2880" w:hanging="360"/>
      </w:pPr>
    </w:lvl>
    <w:lvl w:ilvl="4">
      <w:start w:val="2024"/>
      <w:numFmt w:val="decimal"/>
      <w:lvlText w:val="%5."/>
      <w:lvlJc w:val="left"/>
      <w:pPr>
        <w:ind w:left="3600" w:hanging="360"/>
      </w:pPr>
    </w:lvl>
    <w:lvl w:ilvl="5">
      <w:start w:val="2024"/>
      <w:numFmt w:val="decimal"/>
      <w:lvlText w:val="%6."/>
      <w:lvlJc w:val="left"/>
      <w:pPr>
        <w:ind w:left="4320" w:hanging="360"/>
      </w:pPr>
    </w:lvl>
    <w:lvl w:ilvl="6">
      <w:start w:val="2024"/>
      <w:numFmt w:val="decimal"/>
      <w:lvlText w:val="%7."/>
      <w:lvlJc w:val="left"/>
      <w:pPr>
        <w:ind w:left="5040" w:hanging="360"/>
      </w:pPr>
    </w:lvl>
    <w:lvl w:ilvl="7">
      <w:start w:val="2024"/>
      <w:numFmt w:val="decimal"/>
      <w:lvlText w:val="%8."/>
      <w:lvlJc w:val="left"/>
      <w:pPr>
        <w:ind w:left="5760" w:hanging="360"/>
      </w:pPr>
    </w:lvl>
    <w:lvl w:ilvl="8">
      <w:start w:val="202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2022"/>
    <w:lvlOverride w:ilvl="0">
      <w:startOverride w:val="2022"/>
    </w:lvlOverride>
    <w:lvlOverride w:ilvl="1">
      <w:startOverride w:val="2022"/>
    </w:lvlOverride>
    <w:lvlOverride w:ilvl="2">
      <w:startOverride w:val="2022"/>
    </w:lvlOverride>
    <w:lvlOverride w:ilvl="3">
      <w:startOverride w:val="2022"/>
    </w:lvlOverride>
    <w:lvlOverride w:ilvl="4">
      <w:startOverride w:val="2022"/>
    </w:lvlOverride>
    <w:lvlOverride w:ilvl="5">
      <w:startOverride w:val="2022"/>
    </w:lvlOverride>
    <w:lvlOverride w:ilvl="6">
      <w:startOverride w:val="2022"/>
    </w:lvlOverride>
    <w:lvlOverride w:ilvl="7">
      <w:startOverride w:val="2022"/>
    </w:lvlOverride>
    <w:lvlOverride w:ilvl="8">
      <w:startOverride w:val="2022"/>
    </w:lvlOverride>
  </w:num>
  <w:num w:numId="1009">
    <w:abstractNumId w:val="991"/>
  </w:num>
  <w:num w:numId="1010">
    <w:abstractNumId w:val="991"/>
  </w:num>
  <w:num w:numId="1011">
    <w:abstractNumId w:val="991"/>
  </w:num>
  <w:num w:numId="1012">
    <w:abstractNumId w:val="99412021"/>
    <w:lvlOverride w:ilvl="0">
      <w:startOverride w:val="2021"/>
    </w:lvlOverride>
    <w:lvlOverride w:ilvl="1">
      <w:startOverride w:val="2021"/>
    </w:lvlOverride>
    <w:lvlOverride w:ilvl="2">
      <w:startOverride w:val="2021"/>
    </w:lvlOverride>
    <w:lvlOverride w:ilvl="3">
      <w:startOverride w:val="2021"/>
    </w:lvlOverride>
    <w:lvlOverride w:ilvl="4">
      <w:startOverride w:val="2021"/>
    </w:lvlOverride>
    <w:lvlOverride w:ilvl="5">
      <w:startOverride w:val="2021"/>
    </w:lvlOverride>
    <w:lvlOverride w:ilvl="6">
      <w:startOverride w:val="2021"/>
    </w:lvlOverride>
    <w:lvlOverride w:ilvl="7">
      <w:startOverride w:val="2021"/>
    </w:lvlOverride>
    <w:lvlOverride w:ilvl="8">
      <w:startOverride w:val="2021"/>
    </w:lvlOverride>
  </w:num>
  <w:num w:numId="1013">
    <w:abstractNumId w:val="99412024"/>
    <w:lvlOverride w:ilvl="0">
      <w:startOverride w:val="2024"/>
    </w:lvlOverride>
    <w:lvlOverride w:ilvl="1">
      <w:startOverride w:val="2024"/>
    </w:lvlOverride>
    <w:lvlOverride w:ilvl="2">
      <w:startOverride w:val="2024"/>
    </w:lvlOverride>
    <w:lvlOverride w:ilvl="3">
      <w:startOverride w:val="2024"/>
    </w:lvlOverride>
    <w:lvlOverride w:ilvl="4">
      <w:startOverride w:val="2024"/>
    </w:lvlOverride>
    <w:lvlOverride w:ilvl="5">
      <w:startOverride w:val="2024"/>
    </w:lvlOverride>
    <w:lvlOverride w:ilvl="6">
      <w:startOverride w:val="2024"/>
    </w:lvlOverride>
    <w:lvlOverride w:ilvl="7">
      <w:startOverride w:val="2024"/>
    </w:lvlOverride>
    <w:lvlOverride w:ilvl="8">
      <w:startOverride w:val="202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Computational Identification of Essential Genes in Single-Cell and CRISPR Data: A Review of Methods, Benchmarks, and Future Directions</dc:title>
  <dc:creator>L. Wenting</dc:creator>
  <cp:keywords>essential genes, scRNA-seq, CRISPR, DepMap, deep learning, gene dependency, GNN, scCRISPR, review</cp:keywords>
  <dcterms:created xsi:type="dcterms:W3CDTF">2026-08-19T03:31:50Z</dcterms:created>
  <dcterms:modified xsi:type="dcterms:W3CDTF">2026-08-19T03:31:50Z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Essential genes — genes whose disruption is incompatible with cell viability — are central to understanding cellular fitness, cancer dependencies, and housekeeping functions. Recent advances in single-cell RNA sequencing (scRNA-seq) and pooled CRISPR-Cas9 screening have produced two largely separate literatures: (i) expression-robustness methods such as scEssentials that nominate “essential” genes from stable, broad, high expression across cell types and platforms, and (ii) functional-essentiality methods (DepMap, Project Score, CoRe, ADAM) that measure the phenotypic consequence of gene knockout. This review formalises the data requirements of each approach, surveys and benchmarks the current state of the art — including a rapidly growing family of deep-learning predictors (DeepHE, EPGAT, FluxGAT, LeAP, EssentialGIN, DeepHEM, DeepVul, XGEP) and scCRISPR generative models (scLAMBDA, PerturbNet) — and critically compares the two paradigms. We argue that the most promising direction is a supervised, context-aware synthesis that uses functional CRISPR labels (DepMap) to learn and reweight the expression-derived essentiality score, extended by sequence / DNA-language-model features for unexpressed genes and cross-species transfer, and delivered as co-essentiality modules rather than flat gene lists.</vt:lpwstr>
  </property>
  <property fmtid="{D5CDD505-2E9C-101B-9397-08002B2CF9AE}" pid="3" name="date">
    <vt:lpwstr>2026-08-18</vt:lpwstr>
  </property>
</Properties>
</file>