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46" w:rsidRPr="00121C46" w:rsidRDefault="00121C46" w:rsidP="00121C46">
      <w:pPr>
        <w:widowControl/>
        <w:shd w:val="clear" w:color="auto" w:fill="FFFFFF"/>
        <w:spacing w:after="240" w:line="36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版权所有 © 2007 自由软件基金会。 &lt;</w:t>
      </w:r>
      <w:hyperlink r:id="rId7" w:history="1">
        <w:r w:rsidRPr="00121C46">
          <w:rPr>
            <w:rFonts w:ascii="Arial" w:eastAsia="微软雅黑" w:hAnsi="Arial" w:cs="Arial"/>
            <w:color w:val="004499"/>
            <w:kern w:val="0"/>
            <w:sz w:val="24"/>
            <w:szCs w:val="24"/>
            <w:u w:val="single"/>
          </w:rPr>
          <w:t>https://fsf.org/</w:t>
        </w:r>
      </w:hyperlink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&gt;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每个人都可以复制和分发逐字副本 此许可文档，但不允许更改它。</w:t>
      </w:r>
    </w:p>
    <w:p w:rsidR="00121C46" w:rsidRPr="00121C46" w:rsidRDefault="00121C46" w:rsidP="00121C46">
      <w:pPr>
        <w:widowControl/>
        <w:shd w:val="clear" w:color="auto" w:fill="FFFFFF"/>
        <w:spacing w:before="288" w:after="204"/>
        <w:jc w:val="left"/>
        <w:outlineLvl w:val="3"/>
        <w:rPr>
          <w:rFonts w:ascii="微软雅黑" w:eastAsia="微软雅黑" w:hAnsi="微软雅黑" w:cs="宋体" w:hint="eastAsia"/>
          <w:b/>
          <w:bCs/>
          <w:color w:val="505050"/>
          <w:kern w:val="0"/>
          <w:sz w:val="30"/>
          <w:szCs w:val="30"/>
        </w:rPr>
      </w:pPr>
      <w:r w:rsidRPr="00121C46">
        <w:rPr>
          <w:rFonts w:ascii="微软雅黑" w:eastAsia="微软雅黑" w:hAnsi="微软雅黑" w:cs="宋体" w:hint="eastAsia"/>
          <w:b/>
          <w:bCs/>
          <w:color w:val="505050"/>
          <w:kern w:val="0"/>
          <w:sz w:val="30"/>
          <w:szCs w:val="30"/>
        </w:rPr>
        <w:t>序言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GNU 通用公共许可证是一个免费的、copyleft 的许可证 软件和其他类型的作品。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大多数软件和其他实际作品的许可证都是设计好的 剥夺你分享和改变作品的自由。相比之下， GNU 通用公共许可证旨在保证您自由 共享和更改程序的所有版本 - 以确保它保持空闲 适用于所有用户的软件。我们，自由软件基金会，使用 我们大多数软件的 GNU 通用公共许可证;它也适用于 作者以这种方式发布的任何其他作品。您可以将其应用于 您的程序也是如此。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当我们谈论自由软件时，我们指的是自由，而不是自由。 价格。我们的通用公共许可证旨在确保您 有自由分发自由软件的副本（并收取 如果您愿意），您会收到源代码，或者如果您愿意，则可以获取源代码 想要它，您可以更改软件或在新的中使用它的一部分 免费程序，并且你知道你可以做这些事情。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为了保护您的权利，我们需要防止他人拒绝您 这些权利或要求您放弃这些权利。因此，你有 如果您分发软件的副本，或者 你修改它：尊重他人自由的责任。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例如，如果您分发此类程序的副本，是否 免费或收费，您必须将相同的方式传递给收件人 你得到的自由。您必须确保他们也收到 或者可以获取源代码。你必须向他们展示这些条款，以便他们 了解他们的权利。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使用 GNU GPL 的开发者通过两个步骤保护您的权利： （1） 主张软件的版权，以及 （2） 向您提供本许可 授予您复制、分发和/或修改它的法律许可。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为了保护开发者和作者，GPL 清楚地解释了 此免费软件不作任何保证。对于用户和 看在作者的份上，GPL 要求修改后的版本标记为 改变了，这样他们的问题就不会被错误地归因于 以前版本的作者。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某些设备旨在拒绝用户访问安装或运行 他们内部软件的修改版本，尽管制造商 可以这样做。这从根本上与 保护用户更改软件的自由。系统化 这种滥用的模式发生在个人的产品领域 使用，这正是最不能接受的地方。因此，我们 设计了这个版本的 GPL 来禁止那些 产品。如果此类问题在其他领域出现，我们 随时准备在未来版本中将此规定扩展到这些域 GPL，以保护用户自由的需要。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最后，每个程序都不断受到软件专利的威胁。 各国不应允许专利限制其开发和使用 通用计算机上的软件，但在那些有的软件中，我们希望 避免专利应用于自由程序的特殊危险 使其有效地专有。为了防止这种情况，GPL 保证 专利不能用于使程序非自由。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复制、分发和 修改如下。</w:t>
      </w:r>
    </w:p>
    <w:p w:rsidR="00121C46" w:rsidRPr="00121C46" w:rsidRDefault="00121C46" w:rsidP="00121C46">
      <w:pPr>
        <w:widowControl/>
        <w:shd w:val="clear" w:color="auto" w:fill="FFFFFF"/>
        <w:spacing w:before="288" w:after="204"/>
        <w:jc w:val="left"/>
        <w:outlineLvl w:val="3"/>
        <w:rPr>
          <w:rFonts w:ascii="微软雅黑" w:eastAsia="微软雅黑" w:hAnsi="微软雅黑" w:cs="宋体" w:hint="eastAsia"/>
          <w:b/>
          <w:bCs/>
          <w:color w:val="505050"/>
          <w:kern w:val="0"/>
          <w:sz w:val="30"/>
          <w:szCs w:val="30"/>
        </w:rPr>
      </w:pPr>
      <w:r w:rsidRPr="00121C46">
        <w:rPr>
          <w:rFonts w:ascii="微软雅黑" w:eastAsia="微软雅黑" w:hAnsi="微软雅黑" w:cs="宋体" w:hint="eastAsia"/>
          <w:b/>
          <w:bCs/>
          <w:color w:val="505050"/>
          <w:kern w:val="0"/>
          <w:sz w:val="30"/>
          <w:szCs w:val="30"/>
        </w:rPr>
        <w:t>条款与条件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0. 定义。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“本许可证”是指 GNU 通用公共许可证的第 3 版。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“版权”也指适用于其他类型的类似版权的法律 作品，如半导体掩模。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“本计划”是指根据本许可的任何受版权保护的作品 许可证。每个被许可人都称呼为“您”。“被许可人”和 “收件人”可以是个人或组织。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“修改”作品是指复制或改编全部或部分作品 以需要版权许可的方式，而不是制作 精确副本。由此产生的作品称为 早期作品或“基于”早期作品的作品。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“涵盖的作品”是指未经修改的程序或基于作品的作品 在程序上。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“传播”一部作品意味着用它做任何事情，而没有 许可，将使您直接或间接地承担以下责任 根据适用的版权法侵权，除非在 计算机或修改私人副本。传播包括复制， 分发（有或没有修改），提供给 公共活动，在某些国家/地区还有其他活动。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“传达”作品是指任何使其他作品能够传播 制作或接收副本的各方。仅通过以下方式与用户交互 没有副本传输的计算机网络不会传输。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交互式用户界面显示“适当的法律声明” 在某种程度上，它包括方便且醒目的可见 （1） 显示适当的版权声明的功能，以及 （2） 告诉用户作品没有保修（除了 提供保证的范围），被许可人可以传达 在本许可下工作，以及如何查看本许可的副本。如果 该界面显示用户命令或选项的列表，例如 菜单，则列表中的突出项目符合此标准。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1. 源代码。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作品的“源代码”是指作品的首选形式 用于对其进行修改。“目标代码”是指任何非来源 作品的形式。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“标准接口”是指官方接口 由公认的标准机构定义的标准，或者在 为特定编程语言指定的接口，一种 在使用该语言工作的开发人员中广泛使用。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可执行作品的“系统库”包括任何内容，其他 比整个作品，即（a）包含在正常形式的 打包主要组件，但不属于该主要组件 组件，以及 （b） 仅用于使工作能够使用 主要组件，或实现标准接口，其 实现以源代码形式向公众提供。一个 在这种情况下，“主要组成部分”是指主要的基本组成部分 （内核、窗口系统等）的特定操作系统 （如果有）运行可执行工作，或用于 生成工作，或用于运行它的对象代码解释器。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目标代码形式的作品的“对应来源”是指所有 生成、安装和（对于可执行文件 工作）运行目标代码并修改工作，包括脚本 控制这些活动。但是，它不包括作品的 系统库、通用工具或正式免费提供 在执行这些活动时未经修改使用的程序，但 这不是工作的一部分。例如，对应源 包括与源文件关联的接口定义文件 共享库的工作和源代码以及动态 工作专门设计要求的链接子程序， 例如通过密切的数据通信或控制流 子程序和工作的其他部分。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对应源不需要包含用户的任何内容 可以从相应其他部分自动再生 源。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源代码形式的工作的相应来源是 同样的工作。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2. 基本权限。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根据本许可授予的所有权利均在以下期限内授予： 程序的版权，并且是不可撤销的，只要声明 满足条件。本许可明确确认您的无限 运行未修改程序的权限。</w:t>
      </w: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运行 仅当输出鉴于其 内容，构成涵盖的作品。本许可证确认您的 版权法规定的合理使用权或其他等同权利。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您可以制作、运行和传播您不制作的涵盖作品 无条件转让，只要您的许可证仍然存在 生效。您可以仅出于目的将涵盖的作品转让给他人 让他们专门为您进行修改，或为您提供 具有运行这些工程的设施，前提是您遵守 本许可在传达您为其提供的所有材料时的条款 不控制版权。因此制作或运行所涵盖作品的人 因为您必须完全代表您这样做，在您的指导下 并控制，但条款禁止他们制作任何副本 您与您的关系之外的受版权保护的材料。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在任何其他情况下的运输仅在以下情况下允许 以下条件。不允许再许可;第10款 使它变得没有必要。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3. 保护用户的合法权益免受反规避法的侵害。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任何涵盖的工作均不得被视为有效技术的一部分 根据履行本条规定的义务的任何适用法律采取的措施 11年20月1996日通过的《世界知识产权组织版权条约》第&lt;&gt;条，或 禁止或限制规避此类行为的类似法律 措施。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当您传达涵盖的作品时，您放弃了禁止的任何法律权力 规避技术措施，只要这种规避 通过行使本许可下有关以下方面的权利来实现： 涵盖的工作，并且您否认任何限制操作或 修改作品作为强制执行的手段，反对作品的 用户、您或第三方禁止规避 技术措施。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4. 逐字传送副本。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您可以随您一样传送程序源代码的逐字副本 以任何媒介接收它，前提是您醒目地和 在每份副本上适当地发布适当的版权声明; 保持所有声明本许可证和任何 根据第7条添加的非许可条款适用于本守则; 保持所有没有任何保证的通知;并全力以赴 接收者本许可证的副本以及程序。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您可以对您传达的每份副本收取任何价格或不收取任何价格， 您可以付费提供支持或保修保护。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5. 传达修改后的源版本。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您可以传达基于程序的作品，或对 从程序中以源代码的形式生成它 第 4 节的条款，前提是您还满足以下所有条件：</w:t>
      </w:r>
    </w:p>
    <w:p w:rsidR="00121C46" w:rsidRPr="00121C46" w:rsidRDefault="00121C46" w:rsidP="00121C46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a） 作品必须带有醒目的通知，说明您修改了 它，并给出一个相关的日期。</w:t>
      </w:r>
    </w:p>
    <w:p w:rsidR="00121C46" w:rsidRPr="00121C46" w:rsidRDefault="00121C46" w:rsidP="00121C46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b） 作品必须带有显著的通知，说明它是 根据本许可和本节添加的任何条件发布 7. 此要求将第 4 节中的要求修改为 “保持所有通知完好无损”。</w:t>
      </w:r>
    </w:p>
    <w:p w:rsidR="00121C46" w:rsidRPr="00121C46" w:rsidRDefault="00121C46" w:rsidP="00121C46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c） 您必须根据本许可整个作品 许可给拥有副本的任何人。这 因此，许可将与任何适用的第 7 节一起适用 附加条款，包括整个作品及其所有部分， 无论它们如何包装。本许可证不提供 允许以任何其他方式许可作品，但未许可 如果您单独收到此类权限，则使其无效。</w:t>
      </w:r>
    </w:p>
    <w:p w:rsidR="00121C46" w:rsidRPr="00121C46" w:rsidRDefault="00121C46" w:rsidP="00121C46">
      <w:pPr>
        <w:widowControl/>
        <w:numPr>
          <w:ilvl w:val="0"/>
          <w:numId w:val="1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d） 如果作品具有交互式用户界面，则必须显示每个用户界面 适当的法律声明;但是，如果程序具有交互式 不显示适当法律声明的界面，您的 工作不需要让他们这样做。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涵盖作品的汇编，以及其他独立和独立的作品 作品，就其性质而言不是所涵盖作品的延伸， 并且不与它结合，例如形成更大的程序， 在存储或分发介质的卷中或卷上，称为 “聚合”，如果汇编及其产生的版权不是 用于限制汇编用户的访问或合法权利 超出个人工作允许的范围。收录涵盖的作品 合计不会导致本许可证适用于其他许可证 聚合的一部分。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6. 传达非源形式。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您可以根据条款以目标代码形式传达涵盖的作品 第 4 节和第 5 节，前提是您还传达 根据本许可条款的机器可读对应源， 通过以下方式之一：</w:t>
      </w:r>
    </w:p>
    <w:p w:rsidR="00121C46" w:rsidRPr="00121C46" w:rsidRDefault="00121C46" w:rsidP="00121C46">
      <w:pPr>
        <w:widowControl/>
        <w:numPr>
          <w:ilvl w:val="0"/>
          <w:numId w:val="2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a） 在物理产品中或包含在物理产品中传达目标代码 （包括物理分发介质），伴随着 固定在耐用物理介质上的相应源 通常用于软件交换。</w:t>
      </w:r>
    </w:p>
    <w:p w:rsidR="00121C46" w:rsidRPr="00121C46" w:rsidRDefault="00121C46" w:rsidP="00121C46">
      <w:pPr>
        <w:widowControl/>
        <w:numPr>
          <w:ilvl w:val="0"/>
          <w:numId w:val="2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b） 在物理产品中或体现在物理产品中传达目标代码 （包括物理分配介质），并伴有 书面报价，有效期至少为三年，有效期为 只要您为该产品提供备件或客户支持 模型，为拥有目标代码的任何人提供 （1） 所有软件的相应源的副本 本许可证涵盖的产品，在耐用的物理上 通常用于软件交换的介质，价格没有 超过您实际执行此操作的合理成本 来源的传达，或 （2） 访问复制 来自网络服务器的相应源免费。</w:t>
      </w:r>
    </w:p>
    <w:p w:rsidR="00121C46" w:rsidRPr="00121C46" w:rsidRDefault="00121C46" w:rsidP="00121C46">
      <w:pPr>
        <w:widowControl/>
        <w:numPr>
          <w:ilvl w:val="0"/>
          <w:numId w:val="2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c） 传送目标代码的单个副本和 提供相应来源的书面提议。这 仅偶尔和非商业性地允许替代，并且 仅当您收到带有此类报价的目标代码时，才符合 与第6b小节。</w:t>
      </w:r>
    </w:p>
    <w:p w:rsidR="00121C46" w:rsidRPr="00121C46" w:rsidRDefault="00121C46" w:rsidP="00121C46">
      <w:pPr>
        <w:widowControl/>
        <w:numPr>
          <w:ilvl w:val="0"/>
          <w:numId w:val="2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d） 通过提供来自指定访问权限来传达目标代码 地方（免费或收费），并提供对 相应的源以相同的方式通过同一地点没有 进一步收费。您无需要求收件人复制 相应的源以及目标代码。如果地方 复制目标代码是网络服务器，对应源 可能位于其他服务器上（由您或第三方运营） 支持等效的复制工具，前提是您维护 目标代码旁边的明确说明在哪里可以找到 对应来源。无论什么服务器托管 相应的来源，您仍然有义务确保它是 只要需要满足这些要求，就可以使用。</w:t>
      </w:r>
    </w:p>
    <w:p w:rsidR="00121C46" w:rsidRPr="00121C46" w:rsidRDefault="00121C46" w:rsidP="00121C46">
      <w:pPr>
        <w:widowControl/>
        <w:numPr>
          <w:ilvl w:val="0"/>
          <w:numId w:val="2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e） 使用点对点传输传达目标代码，前提是 您通知其他对等方目标代码和相应的位置 作品来源不向公众提供 根据第6d款提出的指控。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目标代码的可分离部分，其源代码被排除在外 从相应的源作为系统库，不需要 包括在传达目标代码工作中。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“用户产品”是 （1） “消费产品”，即任何 通常用于个人、家庭、 或家庭用途，或 （2） 为公司注册而设计或出售的任何物品 进入住宅。在确定产品是否为消费品时， 疑难案件应以有利于承保的方式解决。对于特定的 特定用户收到的产品，“正常使用”是指 该类产品的典型或常见用途，无论状态如何 特定用户或特定用户的方式 实际使用或预期或预期使用产品。一个产品 是消费品，无论该产品是否具有实质性 商业、工业或非消费用途，除非此类用途代表 产品唯一重要的使用方式。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用户产品的“安装信息”是指任何方法， 安装所需的过程、授权密钥或其他信息 并在该用户产品中执行涵盖作品的修改版本，来自 其对应来源的修改版本。</w:t>
      </w: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信息必须 足以确保修改对象的持续运行 在任何情况下，代码都不会仅仅因为 已进行修改。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如果您传达了本节下的目标代码，则与或 专门用于用户产品，并且输送发生在 交易的一部分，其中占有和使用权 用户产品永久转让给接收方或用于 固定期限（无论交易如何定性）， 必须附上本节下传达的相应来源 通过安装信息。但此要求不适用 如果您和任何第三方都不保留安装能力 修改了用户产品上的目标代码（例如，作品具有 已安装在 ROM 中）。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提供安装信息的要求不包括 继续提供支持服务、保修或更新的要求 对于收件人修改或安装的作品，或 已修改或安装的用户产品。访问 当修改本身实质上和 对网络运行产生不利影响或违反规则和 用于跨网络通信的协议。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传达的相应来源和提供的安装信息， 根据本节，必须采用公开的格式 记录在案（并向公众提供实施 源代码形式），并且必须不需要特殊的密码或密钥 拆包、阅读或复制。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7. 附加条款。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“附加权限”是补充本条款的条款 通过根据其一个或多个条件进行例外来许可。 适用于整个程序的其他权限应 被视为包含在本许可中，只要 它们在适用法律下有效。如果其他权限 仅适用于程序的一部分，该部分可以单独使用 在这些许可下，但整个程序仍受 本许可不考虑其他权限。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当您传达所涵盖作品的副本时，您可以选择 从该副本或 的任何部分删除任何其他权限 它。（可以编写其他权限以要求自己的权限 在某些情况下，当您修改作</w:t>
      </w: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品时删除。您可以放置 您对材料的额外权限，由您添加到涵盖的作品中， 您拥有或可以给予适当的版权许可。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尽管本许可有任何其他规定，对于材料 添加到涵盖的作品中，您可以（如果获得版权所有者的授权） 该材料）通过以下条款补充本许可的条款：</w:t>
      </w:r>
    </w:p>
    <w:p w:rsidR="00121C46" w:rsidRPr="00121C46" w:rsidRDefault="00121C46" w:rsidP="00121C46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a） 不承担与 本许可第 15 条和第 16 条的条款;或</w:t>
      </w:r>
    </w:p>
    <w:p w:rsidR="00121C46" w:rsidRPr="00121C46" w:rsidRDefault="00121C46" w:rsidP="00121C46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b） 要求保存指定的合理法律声明或 该材料或相应法律中的作者归属 包含它的作品显示的通知;或</w:t>
      </w:r>
    </w:p>
    <w:p w:rsidR="00121C46" w:rsidRPr="00121C46" w:rsidRDefault="00121C46" w:rsidP="00121C46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c） 禁止歪曲该材料的来源，或 要求在 与原始版本不同的合理方式;或</w:t>
      </w:r>
    </w:p>
    <w:p w:rsidR="00121C46" w:rsidRPr="00121C46" w:rsidRDefault="00121C46" w:rsidP="00121C46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d） 限制为公布目的使用许可人的名称或 材料的作者;或</w:t>
      </w:r>
    </w:p>
    <w:p w:rsidR="00121C46" w:rsidRPr="00121C46" w:rsidRDefault="00121C46" w:rsidP="00121C46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e） 拒绝根据商标法授予使用某些权利 商号、商标或服务标志;或</w:t>
      </w:r>
    </w:p>
    <w:p w:rsidR="00121C46" w:rsidRPr="00121C46" w:rsidRDefault="00121C46" w:rsidP="00121C46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ind w:left="413" w:right="173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f） 要求对其许可人和作者进行赔偿 任何传达材料的人的材料（或修改版本 它）对接收人的责任承担合同，对于 这些合同假设直接施加的任何责任 那些许可人和作者。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所有其他非许可性附加条款被视为“进一步” 限制“，属于第 10 条的含义。如果程序像您一样 收到它或其任何部分，包含一条通知，说明它是 受本许可以及进一步的术语管辖 限制，您可以删除该术语。如果许可证文档包含 进一步的限制，但允许根据此重新许可或转让 许可，您可以添加到受条款约束的涵盖工作材料中 该许可文件，前提是进一步的限制确实 无法在此类重新许可或转让中幸存下来。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如果您根据本节向涵盖的作品添加条款，则您 必须在相关源文件中放置 适用于这些文件的附加条款，或指示 在哪里可以找到适用的条款。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附加条款，无论是允许的还是非允许的，都可以在 单独书面许可的形式，或声明为例外; 无论哪种方式，上述要求都适用。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8. 终止。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您不得传播或修改涵盖的作品，除非明确 根据本许可提供。任何试图以其他方式传播或 修改它是无效的，并且将自动终止您在 本许可（包括根据第三项授予的任何专利许可） 第11节的段落）。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但是，如果您停止所有违反本许可证的行为，那么您的 恢复特定版权所有者的许可 （a） 暂时，除非并且直到版权所有者明确和 最终终止您的许可，以及 （b） 永久终止，如果版权 持有人未能通过某种合理的方式通知您违规行为 在停止后60天之前。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此外，您来自特定版权所有者的许可是 如果版权所有者通知您 通过一些合理的方式违反，这是你第一次有 收到违反本许可证（针对任何作品）的通知 版权所有者，并且您在 30 天后纠正违规行为 您收到的通知。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终止您在本节下的权利并不终止 根据以下规定从您那里获得副本或权利的各方的许可 本许可。如果您的权利已被终止且不是永久终止 恢复后，您没有资格获得相同的新许可证 第10节下的材料。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9. 拥有副本不需要接受。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您无需接受本许可即可接收或 运行程序的副本。涵盖作品的辅助传播 仅由于使用点对点传输而发生 同样，收到副本也不需要接受。然而 除本许可证外，没有其他任何内容授予您传播或 修改任何涵盖的作品。如果您这样做，这些行为将侵犯版权 不接受本许可。因此，通过修改或传播 涵盖的工作，您表示接受本许可。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10. 下游收件人自动许可。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每次您传达涵盖的作品时，收件人都会自动 从原始许可方获得许可，以运行、修改和 根据本许可传播该作品。你不负责任 以强制第三方遵守本许可。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“实体交易”是转移对 组织，或一个的实质上所有资产，或细分一个 组织或合并组织。如果传播覆盖 工作结果来自实体事务，该交易的每一方 交易 收到作品副本的人也会收到任何内容 该党的前任感兴趣的作品的许可 根据上一段给予，加上拥有 感兴趣的前身作品的相应来源，如果 前任拥有它或通过合理的努力可以得到它。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您不得对行使 根据本许可授予或确认的权利。例如，您可能 不征收许可费、版税或其他费用来行使 根据本许可授予的权利，您不得提起诉讼 （包括诉讼中的交叉索赔或反索赔）声称 任何专利权利要求因制造、使用、销售、提供 销售或导入程序或其任何部分。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11. 专利。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“贡献者”是指根据此授权使用的版权所有者 程序或程序所基于的作品的许可。这 这样获得许可的作品被称为贡献者的“贡献者版本”。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贡献者的“必要专利权利要求”都是专利权利要求 由贡献者拥有或控制，无论是已经获得还是 此后获得的，将以某种方式被侵权，允许 根据本许可，制作、使用或销售其贡献者版本， 但不包括仅作为 进一步修改贡献者版本的后果。为 本定义的目的，“控制”包括授予的权利 以符合以下要求的方式进行专利再许可 本许可。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每个贡献者都授予您非排他性的、全球性的、免版税的 根据贡献者的基本专利权利要求获得专利许可， 制造、使用、出售、要约出售、导入和以其他方式运行、修改和 传播其贡献者版本的内容。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在以下三段中，“专利许可”是任何明示的 协议或承诺，无论名称如何，不执行专利 （例如明确允许实施专利或承诺不 起诉专利侵权）。将此类专利许可“授予”给 一方是指达成此类协议或承诺不执行 针对当事人的专利。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如果您故意依赖专利许可，转让涵盖的作品， 并且作品的相应来源对任何人都不可用 根据本许可的条款，通过 公开可用的网络服务器或其他易于访问的方式， 那么您必须 （1） 使相应的来源如此 可用，或 （2） 安排剥夺自己的利益 该特定作品的专利许可，或 （3） 以某种方式安排 与本许可的要求一致，扩展专利 许可证给下游收件人。“明知故犯”意味着你有 实际知道，如果没有专利许可，您传达 某个国家/地区的涵盖作品，或您的接收者对涵盖作品的使用 在一个国家/地区，将侵犯一项或多项可识别的专利，其中 您有理由相信的国家/地区是有效的。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如果根据或与单笔交易有关，或 安排，您通过购买转让来传达或通过购买转让来传播 涵盖工作，并向某些方授予专利许可 接收授权他们使用、传播、修改的</w:t>
      </w: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涵盖作品 或传达所涵盖作品的特定副本，然后是专利许可 您的授权将自动扩展到受保范围的所有收件人 工作并基于它工作。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如果专利许可不包括 其涵盖范围，禁止行使或 以不行使以下一项或多项权利为条件： 根据本许可专门授予。您不得传达承保 如果您是与第三方安排的一方，则可以工作 在分发软件的业务中，您根据该业务付款 根据您的活动程度向第三方输送 作品，以及第三方授予任何 从您那里获得承保作品的各方，歧视性 专利许可 （a） 与所涵盖作品的副本有关 由您传达（或由这些副本制作的副本），或 （b） 主要 对于特定产品或汇编，以及与以下特定产品或汇编相关的产品或汇编 包含涵盖的作品，除非您达成该安排， 或在28年2007月&lt;&gt;日之前授予专利许可。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本许可中的任何内容均不得解释为排除或限制 任何默示许可或其他侵权抗辩可能 否则，根据适用的专利法向您提供。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12. 不放弃他人的自由。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如果对您施加条件（无论是通过法院命令、协议或 否则）与本许可证的条件相抵触，则不 请原谅您遵守本许可的条件。如果您无法传达 涵盖的工作，以便同时履行您在此项下的义务 许可和任何其他相关义务，因此您可以 根本不传达它。例如，如果您同意对您有义务的条款 向您转让的人收取特许权使用费以进一步转让 该计划，这是您同时满足这些条款和此条款的唯一途径 许可是完全避免传达程序。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13. 与 GNU Affero 通用公共许可证一起使用。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尽管本许可有任何其他规定，您有 允许将任何涵盖的作品与许可作品链接或合并 在 GNU Affero 通用公共许可证的第 3 版下，将 结合工作，并传达由此产生的工作。这个条款 许可证将继续适用于作为涵盖作品的部分， 但 GNU Affero 通用公共许可证的特殊要求， 关于通过网络进行互动的第 13 节将适用于 组合本身。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14. 本许可的修订版本。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自由软件基金会可能会发布修订版和/或新版本 GNU 通用公共许可证不时发布。此类新版本将 在精神上与当前版本相似，但在细节上可能与 解决新的问题或疑虑。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每个版本都有一个可区分的版本号。如果 程序指定了GNU通用的某个编号版本 公共许可证“或任何更高版本”适用于它，您有 选择遵循编号的条款和条件 版本或自由软件发布的任何更高版本 基础。如果程序未指定 GNU通用公共许可证，您可以选择任何曾经发布的版本 由自由软件基金会提供。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如果程序指定代理可以决定哪个未来 可以使用 GNU 通用公共许可证的版本，该代理的 接受版本的公开声明永久授权您 为程序选择该版本。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更高版本的许可证可能会为您提供其他或不同的 权限。但是，不会对任何 作者或版权所有者，由于您选择关注 后来的版本。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15. 免责声明。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在以下允许的范围内，该计划不提供任何保证 适用法律。除非另有书面说明，否则版权 持有人和/或其他方“按原样”提供程序，不提供保证 任何明示或暗示的种类，包括但不限于： 对特定适销性和适用性的默示保证 目的。关于程序质量和性能的全部风险 与你同在。如果程序被证明有缺陷，您将承担 所有必要的服务、维修或纠正。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16. 责任限制。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在任何情况下，除非适用法律要求或书面同意 任何版权所有者或任何其他修改和/或传达的方 上述允许的程序对您承担损害赔偿责任，包括任何 一般、特殊、偶然或后果性损害 使用或无法使用本程序（包括但不限于丢失 数据或数据被呈现为不准确或您或第三方遭受的损失 各方或程序未能与任何其他程序一起运行）， 即使该持有人或其他方已被告知 此类损害赔偿。</w:t>
      </w:r>
    </w:p>
    <w:p w:rsidR="00121C46" w:rsidRPr="00121C46" w:rsidRDefault="00121C46" w:rsidP="00121C46">
      <w:pPr>
        <w:widowControl/>
        <w:shd w:val="clear" w:color="auto" w:fill="FFFFFF"/>
        <w:spacing w:before="312" w:after="216"/>
        <w:jc w:val="left"/>
        <w:outlineLvl w:val="4"/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</w:pPr>
      <w:r w:rsidRPr="00121C46">
        <w:rPr>
          <w:rFonts w:ascii="微软雅黑" w:eastAsia="微软雅黑" w:hAnsi="微软雅黑" w:cs="宋体" w:hint="eastAsia"/>
          <w:i/>
          <w:iCs/>
          <w:color w:val="222222"/>
          <w:kern w:val="0"/>
          <w:sz w:val="27"/>
          <w:szCs w:val="27"/>
        </w:rPr>
        <w:t>17. 第 15 条和第 16 条的解释。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如果提供的免责声明和责任限制 以上不能根据其条款赋予当地法律效力， 复审法院应适用最接近的当地法律 绝对放弃与以下方面有关的所有民事责任 计划，除非附带保证或责任承担 程序副本以换取费用。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条款和条件结束</w:t>
      </w:r>
    </w:p>
    <w:p w:rsidR="00121C46" w:rsidRPr="00121C46" w:rsidRDefault="00121C46" w:rsidP="00121C46">
      <w:pPr>
        <w:widowControl/>
        <w:shd w:val="clear" w:color="auto" w:fill="FFFFFF"/>
        <w:spacing w:before="288" w:after="204"/>
        <w:jc w:val="left"/>
        <w:outlineLvl w:val="3"/>
        <w:rPr>
          <w:rFonts w:ascii="微软雅黑" w:eastAsia="微软雅黑" w:hAnsi="微软雅黑" w:cs="宋体" w:hint="eastAsia"/>
          <w:b/>
          <w:bCs/>
          <w:color w:val="505050"/>
          <w:kern w:val="0"/>
          <w:sz w:val="30"/>
          <w:szCs w:val="30"/>
        </w:rPr>
      </w:pPr>
      <w:r w:rsidRPr="00121C46">
        <w:rPr>
          <w:rFonts w:ascii="微软雅黑" w:eastAsia="微软雅黑" w:hAnsi="微软雅黑" w:cs="宋体" w:hint="eastAsia"/>
          <w:b/>
          <w:bCs/>
          <w:color w:val="505050"/>
          <w:kern w:val="0"/>
          <w:sz w:val="30"/>
          <w:szCs w:val="30"/>
        </w:rPr>
        <w:t>如何将这些条款应用于您的新计划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如果你开发了一个新程序，并且你希望它成为最好的 可能向公众使用，实现这一目标的最好方法是使其 每个人都可以根据这些条款重新分发和更改的自由软件。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为此，请将以下通知附加到程序中。这是最安全的 以最有效地将它们附加到每个源文件的开头 说明保修的排除;并且每个文件至少应具有 “版权”行和指向完整通知位置的指针。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&lt;one line to give the program's name and a brief idea of what it does.&gt;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Copyright (C) &lt;year&gt;  &lt;name of author&gt;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This program is free software: you can redistribute it and/or modify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it under the terms of the GNU General Public License as published by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the Free Software Foundation, either version 3 of the License, or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(at your option) any later version.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This program is distributed in the hope that it will be useful,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but WITHOUT ANY WARRANTY; without even the implied warranty of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MERCHANTABILITY or FITNESS FOR A PARTICULAR PURPOSE.  See the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GNU General Public License for more details.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You should have received a copy of the GNU General Public License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along with this program.  If not, see &lt;https://www.gnu.org/licenses/&gt;.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另添加有关如何通过电子邮件和纸质邮件与您联系的信息。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如果程序进行终端交互，则使其输出一个简短的 当它以交互模式启动时，请注意如下：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&lt;program&gt;  Copyright (C) &lt;year&gt;  &lt;name of author&gt;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This program comes with ABSOLUTELY NO WARRANTY; for details type `show w'.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This is free software, and you are welcome to redistribute it</w:t>
      </w:r>
    </w:p>
    <w:p w:rsidR="00121C46" w:rsidRPr="00121C46" w:rsidRDefault="00121C46" w:rsidP="00121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121C46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 xml:space="preserve">    under certain conditions; type `show c' for details.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假设命令“show w”和“show c”应该显示适当的 通用公共许可证的一部分。当然，程序的命令 可能不同;对于 GUI 界面，您将使用“关于框”。</w:t>
      </w:r>
    </w:p>
    <w:p w:rsidR="00121C46" w:rsidRPr="00121C46" w:rsidRDefault="00121C46" w:rsidP="00121C46">
      <w:pPr>
        <w:widowControl/>
        <w:shd w:val="clear" w:color="auto" w:fill="FFFFFF"/>
        <w:spacing w:before="240" w:after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你还应该得到你的雇主（如果你是一名程序员）或学校， 如有，如有必要，签署程序的“版权免责声明”。 有关这方面的更多信息，以及如何应用和遵循 GNU GPL，请参阅 &lt;</w:t>
      </w:r>
      <w:hyperlink r:id="rId8" w:history="1">
        <w:r w:rsidRPr="00121C46">
          <w:rPr>
            <w:rFonts w:ascii="Arial" w:eastAsia="微软雅黑" w:hAnsi="Arial" w:cs="Arial"/>
            <w:color w:val="004499"/>
            <w:kern w:val="0"/>
            <w:sz w:val="24"/>
            <w:szCs w:val="24"/>
            <w:u w:val="single"/>
          </w:rPr>
          <w:t>https://www.gnu.org/licenses/</w:t>
        </w:r>
      </w:hyperlink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&gt;。</w:t>
      </w:r>
    </w:p>
    <w:p w:rsidR="00121C46" w:rsidRPr="00121C46" w:rsidRDefault="00121C46" w:rsidP="00121C46">
      <w:pPr>
        <w:widowControl/>
        <w:shd w:val="clear" w:color="auto" w:fill="FFFFFF"/>
        <w:spacing w:before="240" w:line="36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GNU 通用公共许可证不允许合并您的程序 进入专有程序。如果您的程序是子例程库，则 可能认为允许将专有应用程序与 图书馆。如果这是您想要做的，请使用 GNU 宽通用 公共许可证，而不是本许可证。但首先，请阅读 &lt;</w:t>
      </w:r>
      <w:hyperlink r:id="rId9" w:history="1">
        <w:r w:rsidRPr="00121C46">
          <w:rPr>
            <w:rFonts w:ascii="Arial" w:eastAsia="微软雅黑" w:hAnsi="Arial" w:cs="Arial"/>
            <w:color w:val="004499"/>
            <w:kern w:val="0"/>
            <w:sz w:val="24"/>
            <w:szCs w:val="24"/>
            <w:u w:val="single"/>
          </w:rPr>
          <w:t>https://www.gnu.org/licenses/why-not-lgpl.html</w:t>
        </w:r>
      </w:hyperlink>
      <w:r w:rsidRPr="00121C4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&gt;。</w:t>
      </w:r>
    </w:p>
    <w:p w:rsidR="00121C46" w:rsidRPr="00121C46" w:rsidRDefault="00121C46" w:rsidP="00121C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hyperlink r:id="rId10" w:anchor="header" w:history="1">
        <w:r w:rsidRPr="00121C46">
          <w:rPr>
            <w:rFonts w:ascii="Arial" w:eastAsia="微软雅黑" w:hAnsi="Arial" w:cs="Arial"/>
            <w:b/>
            <w:bCs/>
            <w:color w:val="4040BB"/>
            <w:kern w:val="0"/>
            <w:sz w:val="29"/>
            <w:u w:val="single"/>
          </w:rPr>
          <w:t>▲</w:t>
        </w:r>
      </w:hyperlink>
    </w:p>
    <w:p w:rsidR="00121C46" w:rsidRPr="00121C46" w:rsidRDefault="00121C46" w:rsidP="00121C4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b/>
          <w:bCs/>
          <w:i/>
          <w:iCs/>
          <w:color w:val="222222"/>
          <w:kern w:val="0"/>
          <w:sz w:val="23"/>
          <w:szCs w:val="23"/>
        </w:rPr>
      </w:pPr>
      <w:r>
        <w:rPr>
          <w:rFonts w:ascii="Arial" w:eastAsia="微软雅黑" w:hAnsi="Arial" w:cs="Arial"/>
          <w:b/>
          <w:bCs/>
          <w:i/>
          <w:iCs/>
          <w:noProof/>
          <w:color w:val="004499"/>
          <w:kern w:val="0"/>
          <w:sz w:val="23"/>
          <w:szCs w:val="23"/>
        </w:rPr>
        <w:drawing>
          <wp:inline distT="0" distB="0" distL="0" distR="0">
            <wp:extent cx="714375" cy="238125"/>
            <wp:effectExtent l="19050" t="0" r="9525" b="0"/>
            <wp:docPr id="1" name="fsfbanner" descr="[自由软件联合会标志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fbanner" descr="[自由软件联合会标志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C46">
        <w:rPr>
          <w:rFonts w:ascii="微软雅黑" w:eastAsia="微软雅黑" w:hAnsi="微软雅黑" w:cs="宋体" w:hint="eastAsia"/>
          <w:b/>
          <w:bCs/>
          <w:i/>
          <w:iCs/>
          <w:color w:val="222222"/>
          <w:kern w:val="0"/>
          <w:sz w:val="23"/>
        </w:rPr>
        <w:t>“自由软件基金会（FSF）是一个非营利组织，拥有全球性的 促进计算机用户自由的使命。我们捍卫所有人的权利 软件用户</w:t>
      </w:r>
    </w:p>
    <w:p w:rsidR="0041365C" w:rsidRPr="00121C46" w:rsidRDefault="0041365C" w:rsidP="00121C46"/>
    <w:sectPr w:rsidR="0041365C" w:rsidRPr="00121C46" w:rsidSect="00413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8C2" w:rsidRDefault="00D358C2" w:rsidP="00D358C2">
      <w:r>
        <w:separator/>
      </w:r>
    </w:p>
  </w:endnote>
  <w:endnote w:type="continuationSeparator" w:id="1">
    <w:p w:rsidR="00D358C2" w:rsidRDefault="00D358C2" w:rsidP="00D35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8C2" w:rsidRDefault="00D358C2" w:rsidP="00D358C2">
      <w:r>
        <w:separator/>
      </w:r>
    </w:p>
  </w:footnote>
  <w:footnote w:type="continuationSeparator" w:id="1">
    <w:p w:rsidR="00D358C2" w:rsidRDefault="00D358C2" w:rsidP="00D358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17C56"/>
    <w:multiLevelType w:val="multilevel"/>
    <w:tmpl w:val="AB4E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927B87"/>
    <w:multiLevelType w:val="multilevel"/>
    <w:tmpl w:val="909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EF6F8F"/>
    <w:multiLevelType w:val="multilevel"/>
    <w:tmpl w:val="FF94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8C2"/>
    <w:rsid w:val="00121C46"/>
    <w:rsid w:val="0041365C"/>
    <w:rsid w:val="00D3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65C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21C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21C4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8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8C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21C4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21C46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21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21C4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21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1C4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21C4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21C4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1C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85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56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1371">
          <w:marLeft w:val="0"/>
          <w:marRight w:val="0"/>
          <w:marTop w:val="0"/>
          <w:marBottom w:val="0"/>
          <w:divBdr>
            <w:top w:val="single" w:sz="18" w:space="6" w:color="99999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52">
              <w:blockQuote w:val="1"/>
              <w:marLeft w:val="507"/>
              <w:marRight w:val="507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licens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sf.org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sf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nu.org/licenses/gpl-3.0.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nu.org/licenses/why-not-lgp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1648</Words>
  <Characters>9395</Characters>
  <Application>Microsoft Office Word</Application>
  <DocSecurity>0</DocSecurity>
  <Lines>78</Lines>
  <Paragraphs>22</Paragraphs>
  <ScaleCrop>false</ScaleCrop>
  <Company>Microsoft</Company>
  <LinksUpToDate>false</LinksUpToDate>
  <CharactersWithSpaces>11021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2023-07-17T01:37:00Z</dcterms:created>
  <dcterms:modified xsi:type="dcterms:W3CDTF">2023-07-17T01:52:00Z</dcterms:modified>
</cp:coreProperties>
</file>