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8" w:hRule="atLeast"/>
        </w:trPr>
        <w:tc>
          <w:tcPr>
            <w:tcW w:w="9120" w:type="dxa"/>
          </w:tcPr>
          <w:p>
            <w:pPr>
              <w:rPr>
                <w:rFonts w:ascii="微软雅黑" w:hAnsi="微软雅黑" w:eastAsia="微软雅黑"/>
              </w:rPr>
            </w:pPr>
          </w:p>
          <w:p>
            <w:pPr>
              <w:spacing w:beforeLines="1400"/>
              <w:jc w:val="center"/>
              <w:rPr>
                <w:rFonts w:ascii="微软雅黑" w:hAnsi="微软雅黑" w:eastAsia="微软雅黑"/>
                <w:bCs/>
                <w:color w:val="000000"/>
                <w:sz w:val="72"/>
                <w:szCs w:val="72"/>
                <w:bdr w:val="single" w:color="auto" w:sz="4" w:space="0"/>
              </w:rPr>
            </w:pPr>
            <w:r>
              <w:rPr>
                <w:rFonts w:hint="eastAsia" w:ascii="微软雅黑" w:hAnsi="微软雅黑" w:eastAsia="微软雅黑"/>
                <w:b/>
                <w:color w:val="000000"/>
                <w:sz w:val="72"/>
                <w:szCs w:val="72"/>
              </w:rPr>
              <w:t>SHOP电子商城系统</w:t>
            </w:r>
          </w:p>
          <w:p>
            <w:pPr>
              <w:jc w:val="center"/>
              <w:rPr>
                <w:rFonts w:ascii="微软雅黑" w:hAnsi="微软雅黑" w:eastAsia="微软雅黑"/>
                <w:b/>
                <w:sz w:val="52"/>
              </w:rPr>
            </w:pPr>
            <w:r>
              <w:rPr>
                <w:rFonts w:ascii="微软雅黑" w:hAnsi="微软雅黑" w:eastAsia="微软雅黑"/>
                <w:b/>
                <w:sz w:val="20"/>
              </w:rPr>
              <w:pict>
                <v:group id="组合 5" o:spid="_x0000_s2050" o:spt="203" style="position:absolute;left:0pt;margin-left:4.3pt;margin-top:18.25pt;height:7.75pt;width:445.7pt;z-index:251659264;mso-width-relative:page;mso-height-relative:page;" coordorigin="1770,5130" coordsize="8340,120">
                  <o:lock v:ext="edit"/>
                  <v:line id="直线 6" o:spid="_x0000_s2051" o:spt="20" style="position:absolute;left:1770;top:5130;height:0;width:8340;" coordsize="21600,21600">
                    <v:path arrowok="t"/>
                    <v:fill focussize="0,0"/>
                    <v:stroke weight="1.5pt"/>
                    <v:imagedata o:title=""/>
                    <o:lock v:ext="edit"/>
                  </v:line>
                  <v:line id="直线 7" o:spid="_x0000_s2052" o:spt="20" style="position:absolute;left:1770;top:5250;height:0;width:8340;" coordsize="21600,21600">
                    <v:path arrowok="t"/>
                    <v:fill focussize="0,0"/>
                    <v:stroke weight="4.5pt"/>
                    <v:imagedata o:title=""/>
                    <o:lock v:ext="edit"/>
                  </v:line>
                </v:group>
              </w:pict>
            </w:r>
          </w:p>
          <w:p>
            <w:pPr>
              <w:jc w:val="center"/>
              <w:rPr>
                <w:rFonts w:ascii="微软雅黑" w:hAnsi="微软雅黑" w:eastAsia="微软雅黑"/>
                <w:b/>
                <w:sz w:val="44"/>
                <w:szCs w:val="44"/>
              </w:rPr>
            </w:pPr>
            <w:r>
              <w:rPr>
                <w:rFonts w:hint="eastAsia" w:ascii="微软雅黑" w:hAnsi="微软雅黑" w:eastAsia="微软雅黑"/>
                <w:b/>
                <w:sz w:val="44"/>
                <w:szCs w:val="44"/>
              </w:rPr>
              <w:t>用例评审</w:t>
            </w:r>
          </w:p>
          <w:p>
            <w:pPr>
              <w:jc w:val="center"/>
              <w:rPr>
                <w:rFonts w:ascii="微软雅黑" w:hAnsi="微软雅黑" w:eastAsia="微软雅黑"/>
                <w:sz w:val="52"/>
                <w:szCs w:val="52"/>
              </w:rPr>
            </w:pPr>
          </w:p>
          <w:p>
            <w:pPr>
              <w:jc w:val="center"/>
              <w:rPr>
                <w:rFonts w:ascii="微软雅黑" w:hAnsi="微软雅黑" w:eastAsia="微软雅黑"/>
                <w:sz w:val="52"/>
                <w:szCs w:val="52"/>
              </w:rPr>
            </w:pPr>
          </w:p>
          <w:tbl>
            <w:tblPr>
              <w:tblStyle w:val="7"/>
              <w:tblpPr w:leftFromText="180" w:rightFromText="180" w:vertAnchor="text" w:horzAnchor="page" w:tblpXSpec="center" w:tblpY="12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1"/>
              <w:gridCol w:w="1246"/>
              <w:gridCol w:w="1552"/>
              <w:gridCol w:w="1749"/>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151" w:type="dxa"/>
                  <w:vMerge w:val="restart"/>
                </w:tcPr>
                <w:p>
                  <w:r>
                    <w:rPr>
                      <w:rFonts w:hint="eastAsia"/>
                    </w:rPr>
                    <w:t>文件状态：</w:t>
                  </w:r>
                </w:p>
                <w:p>
                  <w:r>
                    <w:rPr>
                      <w:rFonts w:hint="eastAsia"/>
                    </w:rPr>
                    <w:t>【】草稿</w:t>
                  </w:r>
                </w:p>
                <w:p>
                  <w:r>
                    <w:rPr>
                      <w:rFonts w:hint="eastAsia"/>
                    </w:rPr>
                    <w:t>【】正式发布</w:t>
                  </w:r>
                </w:p>
              </w:tc>
              <w:tc>
                <w:tcPr>
                  <w:tcW w:w="1246" w:type="dxa"/>
                  <w:shd w:val="clear" w:color="auto" w:fill="BFBFBF"/>
                </w:tcPr>
                <w:p>
                  <w:r>
                    <w:rPr>
                      <w:rFonts w:hint="eastAsia"/>
                    </w:rPr>
                    <w:t>密级：</w:t>
                  </w:r>
                </w:p>
              </w:tc>
              <w:tc>
                <w:tcPr>
                  <w:tcW w:w="1552" w:type="dxa"/>
                </w:tcPr>
                <w:p>
                  <w:r>
                    <w:rPr>
                      <w:rFonts w:hint="eastAsia"/>
                    </w:rPr>
                    <w:t>机密</w:t>
                  </w:r>
                </w:p>
              </w:tc>
              <w:tc>
                <w:tcPr>
                  <w:tcW w:w="1749" w:type="dxa"/>
                  <w:shd w:val="clear" w:color="auto" w:fill="BFBFBF"/>
                </w:tcPr>
                <w:p>
                  <w:r>
                    <w:rPr>
                      <w:rFonts w:hint="eastAsia"/>
                    </w:rPr>
                    <w:t>当前版本</w:t>
                  </w:r>
                </w:p>
              </w:tc>
              <w:tc>
                <w:tcPr>
                  <w:tcW w:w="1399"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1" w:type="dxa"/>
                  <w:vMerge w:val="continue"/>
                </w:tcPr>
                <w:p/>
              </w:tc>
              <w:tc>
                <w:tcPr>
                  <w:tcW w:w="1246" w:type="dxa"/>
                  <w:shd w:val="clear" w:color="auto" w:fill="BFBFBF"/>
                </w:tcPr>
                <w:p>
                  <w:r>
                    <w:rPr>
                      <w:rFonts w:hint="eastAsia"/>
                    </w:rPr>
                    <w:t>部门：</w:t>
                  </w:r>
                </w:p>
              </w:tc>
              <w:tc>
                <w:tcPr>
                  <w:tcW w:w="1552" w:type="dxa"/>
                </w:tcPr>
                <w:p>
                  <w:r>
                    <w:rPr>
                      <w:rFonts w:hint="eastAsia"/>
                    </w:rPr>
                    <w:t>教学研发部</w:t>
                  </w:r>
                </w:p>
              </w:tc>
              <w:tc>
                <w:tcPr>
                  <w:tcW w:w="1749" w:type="dxa"/>
                  <w:shd w:val="clear" w:color="auto" w:fill="BFBFBF"/>
                </w:tcPr>
                <w:p>
                  <w:pPr>
                    <w:rPr>
                      <w:szCs w:val="24"/>
                    </w:rPr>
                  </w:pPr>
                  <w:r>
                    <w:rPr>
                      <w:rFonts w:hint="eastAsia"/>
                    </w:rPr>
                    <w:t>时间：</w:t>
                  </w:r>
                </w:p>
              </w:tc>
              <w:tc>
                <w:tcPr>
                  <w:tcW w:w="1399" w:type="dxa"/>
                </w:tcPr>
                <w:p>
                  <w:pPr>
                    <w:rPr>
                      <w:szCs w:val="24"/>
                    </w:rPr>
                  </w:pPr>
                  <w:r>
                    <w:t>20</w:t>
                  </w:r>
                  <w:r>
                    <w:rPr>
                      <w:rFonts w:hint="eastAsia"/>
                      <w:lang w:val="en-US" w:eastAsia="zh-CN"/>
                    </w:rPr>
                    <w:t>2</w:t>
                  </w:r>
                  <w:bookmarkStart w:id="0" w:name="_GoBack"/>
                  <w:bookmarkEnd w:id="0"/>
                  <w:r>
                    <w:rPr>
                      <w:rFonts w:hint="eastAsia"/>
                      <w:lang w:val="en-US" w:eastAsia="zh-CN"/>
                    </w:rPr>
                    <w:t>1</w:t>
                  </w:r>
                  <w: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151" w:type="dxa"/>
                  <w:vMerge w:val="continue"/>
                </w:tcPr>
                <w:p/>
              </w:tc>
              <w:tc>
                <w:tcPr>
                  <w:tcW w:w="1246" w:type="dxa"/>
                  <w:shd w:val="clear" w:color="auto" w:fill="BFBFBF"/>
                </w:tcPr>
                <w:p>
                  <w:r>
                    <w:rPr>
                      <w:rFonts w:hint="eastAsia"/>
                    </w:rPr>
                    <w:t>作者：</w:t>
                  </w:r>
                </w:p>
              </w:tc>
              <w:tc>
                <w:tcPr>
                  <w:tcW w:w="1552" w:type="dxa"/>
                </w:tcPr>
                <w:p>
                  <w:r>
                    <w:rPr>
                      <w:rFonts w:hint="eastAsia"/>
                    </w:rPr>
                    <w:t>zhangxs</w:t>
                  </w:r>
                </w:p>
              </w:tc>
              <w:tc>
                <w:tcPr>
                  <w:tcW w:w="1749" w:type="dxa"/>
                  <w:shd w:val="clear" w:color="auto" w:fill="BFBFBF"/>
                </w:tcPr>
                <w:p>
                  <w:pPr>
                    <w:rPr>
                      <w:szCs w:val="24"/>
                    </w:rPr>
                  </w:pPr>
                  <w:r>
                    <w:rPr>
                      <w:rFonts w:hint="eastAsia"/>
                    </w:rPr>
                    <w:t>评审：</w:t>
                  </w:r>
                </w:p>
              </w:tc>
              <w:tc>
                <w:tcPr>
                  <w:tcW w:w="1399" w:type="dxa"/>
                </w:tcPr>
                <w:p>
                  <w:pPr>
                    <w:rPr>
                      <w:szCs w:val="24"/>
                    </w:rPr>
                  </w:pPr>
                </w:p>
              </w:tc>
            </w:tr>
          </w:tbl>
          <w:p>
            <w:pPr>
              <w:jc w:val="center"/>
              <w:rPr>
                <w:rFonts w:ascii="微软雅黑" w:hAnsi="微软雅黑" w:eastAsia="微软雅黑"/>
              </w:rPr>
            </w:pPr>
          </w:p>
        </w:tc>
      </w:tr>
    </w:tbl>
    <w:p>
      <w:pPr>
        <w:jc w:val="center"/>
        <w:rPr>
          <w:rFonts w:ascii="微软雅黑" w:hAnsi="微软雅黑" w:eastAsia="微软雅黑"/>
        </w:rPr>
        <w:sectPr>
          <w:headerReference r:id="rId5" w:type="first"/>
          <w:headerReference r:id="rId3" w:type="default"/>
          <w:headerReference r:id="rId4" w:type="even"/>
          <w:footerReference r:id="rId6" w:type="even"/>
          <w:pgSz w:w="11907" w:h="16840"/>
          <w:pgMar w:top="1701" w:right="1134" w:bottom="1134" w:left="1134" w:header="851" w:footer="992" w:gutter="567"/>
          <w:cols w:space="720" w:num="1"/>
          <w:docGrid w:type="lines" w:linePitch="312" w:charSpace="0"/>
        </w:sectPr>
      </w:pPr>
    </w:p>
    <w:p>
      <w:pPr>
        <w:widowControl/>
        <w:jc w:val="left"/>
        <w:rPr>
          <w:rFonts w:ascii="微软雅黑" w:hAnsi="微软雅黑" w:eastAsia="微软雅黑"/>
        </w:rPr>
      </w:pPr>
    </w:p>
    <w:p>
      <w:pPr>
        <w:widowControl/>
        <w:spacing w:after="225" w:line="345" w:lineRule="atLeast"/>
        <w:jc w:val="left"/>
        <w:rPr>
          <w:rFonts w:ascii="微软雅黑" w:hAnsi="微软雅黑" w:eastAsia="微软雅黑" w:cs="宋体"/>
          <w:b/>
          <w:color w:val="000000"/>
          <w:kern w:val="0"/>
          <w:sz w:val="28"/>
          <w:szCs w:val="28"/>
        </w:rPr>
      </w:pPr>
      <w:r>
        <w:rPr>
          <w:rFonts w:ascii="微软雅黑" w:hAnsi="微软雅黑" w:eastAsia="微软雅黑" w:cs="宋体"/>
          <w:b/>
          <w:color w:val="000000"/>
          <w:kern w:val="0"/>
          <w:sz w:val="28"/>
          <w:szCs w:val="28"/>
        </w:rPr>
        <w:t>测试用例评审标准</w:t>
      </w:r>
    </w:p>
    <w:p>
      <w:pPr>
        <w:widowControl/>
        <w:spacing w:before="225" w:after="225" w:line="345" w:lineRule="atLeast"/>
        <w:jc w:val="left"/>
        <w:rPr>
          <w:rFonts w:ascii="微软雅黑" w:hAnsi="微软雅黑" w:eastAsia="微软雅黑" w:cs="宋体"/>
          <w:color w:val="000000"/>
          <w:kern w:val="0"/>
          <w:sz w:val="28"/>
          <w:szCs w:val="28"/>
        </w:rPr>
      </w:pPr>
      <w:r>
        <w:rPr>
          <w:rFonts w:hint="eastAsia" w:ascii="微软雅黑" w:hAnsi="微软雅黑" w:eastAsia="微软雅黑" w:cs="宋体"/>
          <w:color w:val="000000"/>
          <w:kern w:val="0"/>
          <w:sz w:val="28"/>
          <w:szCs w:val="28"/>
        </w:rPr>
        <w:t xml:space="preserve">    </w:t>
      </w:r>
      <w:r>
        <w:rPr>
          <w:rFonts w:ascii="微软雅黑" w:hAnsi="微软雅黑" w:eastAsia="微软雅黑" w:cs="宋体"/>
          <w:color w:val="000000"/>
          <w:kern w:val="0"/>
          <w:sz w:val="28"/>
          <w:szCs w:val="28"/>
        </w:rPr>
        <w:t>首先要清楚内部评审的定义，是测试组内部的评审，还是项目组内部的评审。评审的定义不同，内容也不会相同。</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如果是测试组内部的评审，应该着重于：</w:t>
      </w:r>
    </w:p>
    <w:p>
      <w:pPr>
        <w:pStyle w:val="15"/>
        <w:widowControl/>
        <w:numPr>
          <w:ilvl w:val="0"/>
          <w:numId w:val="1"/>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测试用例本身的描述是否清晰，是否存在二义性；</w:t>
      </w:r>
    </w:p>
    <w:p>
      <w:pPr>
        <w:pStyle w:val="15"/>
        <w:widowControl/>
        <w:numPr>
          <w:ilvl w:val="0"/>
          <w:numId w:val="1"/>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是否考虑到测试用例的执行效率</w:t>
      </w:r>
      <w:r>
        <w:rPr>
          <w:rFonts w:hint="eastAsia" w:ascii="微软雅黑" w:hAnsi="微软雅黑" w:eastAsia="微软雅黑" w:cs="宋体"/>
          <w:color w:val="000000"/>
          <w:kern w:val="0"/>
          <w:sz w:val="28"/>
          <w:szCs w:val="28"/>
        </w:rPr>
        <w:t>。</w:t>
      </w:r>
      <w:r>
        <w:rPr>
          <w:rFonts w:ascii="微软雅黑" w:hAnsi="微软雅黑" w:eastAsia="微软雅黑" w:cs="宋体"/>
          <w:color w:val="000000"/>
          <w:kern w:val="0"/>
          <w:sz w:val="28"/>
          <w:szCs w:val="28"/>
        </w:rPr>
        <w:t>测试设计的冗余性，造成了效率的低下；</w:t>
      </w:r>
    </w:p>
    <w:p>
      <w:pPr>
        <w:pStyle w:val="15"/>
        <w:widowControl/>
        <w:numPr>
          <w:ilvl w:val="0"/>
          <w:numId w:val="1"/>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是否覆盖了所有的软件需求；</w:t>
      </w:r>
    </w:p>
    <w:p>
      <w:pPr>
        <w:pStyle w:val="15"/>
        <w:widowControl/>
        <w:numPr>
          <w:ilvl w:val="0"/>
          <w:numId w:val="1"/>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是否完全遵守了软件需求的规定。</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如果是项目组内部的评审，也就需要评审委员会来做了，角度不同，评审的标准也不同。比如：</w:t>
      </w:r>
    </w:p>
    <w:p>
      <w:pPr>
        <w:pStyle w:val="15"/>
        <w:widowControl/>
        <w:numPr>
          <w:ilvl w:val="2"/>
          <w:numId w:val="2"/>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收集客户需求的人员注重你的业务逻辑是否正确；</w:t>
      </w:r>
    </w:p>
    <w:p>
      <w:pPr>
        <w:pStyle w:val="15"/>
        <w:widowControl/>
        <w:numPr>
          <w:ilvl w:val="2"/>
          <w:numId w:val="2"/>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分析软件需求规格的人注重你的用例是否跟规格要求一致；</w:t>
      </w:r>
    </w:p>
    <w:p>
      <w:pPr>
        <w:pStyle w:val="15"/>
        <w:widowControl/>
        <w:numPr>
          <w:ilvl w:val="2"/>
          <w:numId w:val="2"/>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开发负责人会注重你的用例中对程序的要求是否合理。</w:t>
      </w:r>
    </w:p>
    <w:p>
      <w:pPr>
        <w:widowControl/>
        <w:spacing w:before="225" w:after="225" w:line="345" w:lineRule="atLeast"/>
        <w:jc w:val="left"/>
        <w:rPr>
          <w:rFonts w:ascii="微软雅黑" w:hAnsi="微软雅黑" w:eastAsia="微软雅黑" w:cs="宋体"/>
          <w:b/>
          <w:color w:val="000000"/>
          <w:kern w:val="0"/>
          <w:sz w:val="28"/>
          <w:szCs w:val="28"/>
        </w:rPr>
      </w:pPr>
      <w:r>
        <w:rPr>
          <w:rFonts w:ascii="微软雅黑" w:hAnsi="微软雅黑" w:eastAsia="微软雅黑" w:cs="宋体"/>
          <w:b/>
          <w:color w:val="000000"/>
          <w:kern w:val="0"/>
          <w:sz w:val="28"/>
          <w:szCs w:val="28"/>
        </w:rPr>
        <w:t>测试用例评审步骤</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　　测试用例的评审能够使用例的结构更清晰，覆盖的用户场景更全面；对于测试工程师来说也是一个快速提高用例设计能力的过程。</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1、需要评审的原因</w:t>
      </w:r>
    </w:p>
    <w:p>
      <w:pPr>
        <w:widowControl/>
        <w:spacing w:before="225" w:after="225" w:line="345" w:lineRule="atLeast"/>
        <w:jc w:val="left"/>
        <w:rPr>
          <w:rFonts w:ascii="微软雅黑" w:hAnsi="微软雅黑" w:eastAsia="微软雅黑" w:cs="宋体"/>
          <w:color w:val="000000"/>
          <w:kern w:val="0"/>
          <w:sz w:val="28"/>
          <w:szCs w:val="28"/>
        </w:rPr>
      </w:pPr>
      <w:r>
        <w:rPr>
          <w:rFonts w:hint="eastAsia" w:ascii="微软雅黑" w:hAnsi="微软雅黑" w:eastAsia="微软雅黑" w:cs="宋体"/>
          <w:color w:val="000000"/>
          <w:kern w:val="0"/>
          <w:sz w:val="28"/>
          <w:szCs w:val="28"/>
        </w:rPr>
        <w:t xml:space="preserve">     </w:t>
      </w:r>
      <w:r>
        <w:rPr>
          <w:rFonts w:ascii="微软雅黑" w:hAnsi="微软雅黑" w:eastAsia="微软雅黑" w:cs="宋体"/>
          <w:color w:val="000000"/>
          <w:kern w:val="0"/>
          <w:sz w:val="28"/>
          <w:szCs w:val="28"/>
        </w:rPr>
        <w:t>测试用例是软件测试的准则，但它并不是一经编制完成就成为准则。由于用例开发人员的设计经验和对需求理解的深度各不相同，所以用例的质量难免会有不同程度的差异。</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2、进行评审的时机</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　　一般会有两个时间点。第一，是在用例的初步设计完成之后进行评审；第二是在整个详细用例全部完成之后进行二次评审。如果项目时间比较紧张，尽可能保证对用例设计进行评审，提前发现其中的不足之处。</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3、参与评审人员</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这里会分为多个级别进行评审。</w:t>
      </w:r>
    </w:p>
    <w:p>
      <w:pPr>
        <w:pStyle w:val="15"/>
        <w:widowControl/>
        <w:numPr>
          <w:ilvl w:val="0"/>
          <w:numId w:val="3"/>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部门评审，测试部门全体成员参与的评审。</w:t>
      </w:r>
    </w:p>
    <w:p>
      <w:pPr>
        <w:pStyle w:val="15"/>
        <w:widowControl/>
        <w:numPr>
          <w:ilvl w:val="0"/>
          <w:numId w:val="3"/>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公司评审，这里包括了项目经理、需求分析人员、架构设计人员、开发人员和测试人员。</w:t>
      </w:r>
    </w:p>
    <w:p>
      <w:pPr>
        <w:pStyle w:val="15"/>
        <w:widowControl/>
        <w:numPr>
          <w:ilvl w:val="0"/>
          <w:numId w:val="3"/>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客户评审，包括了客户方的开发人员和测试人员。这种情况在外包公司比较常见。</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4、评审内容</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评审的内容有以下几个方面：</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用例设计的结构安排是否清晰、合理，是否利于高效对需求进行覆盖。</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优先</w:t>
      </w:r>
      <w:r>
        <w:rPr>
          <w:rFonts w:hint="eastAsia" w:ascii="微软雅黑" w:hAnsi="微软雅黑" w:eastAsia="微软雅黑" w:cs="宋体"/>
          <w:color w:val="000000"/>
          <w:kern w:val="0"/>
          <w:sz w:val="28"/>
          <w:szCs w:val="28"/>
        </w:rPr>
        <w:t>级</w:t>
      </w:r>
      <w:r>
        <w:rPr>
          <w:rFonts w:ascii="微软雅黑" w:hAnsi="微软雅黑" w:eastAsia="微软雅黑" w:cs="宋体"/>
          <w:color w:val="000000"/>
          <w:kern w:val="0"/>
          <w:sz w:val="28"/>
          <w:szCs w:val="28"/>
        </w:rPr>
        <w:t>安排是否合理。</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是否覆盖测试需求上的所有功能点。</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用例是否具有很好可执行性。例如用例的前提条件、执行步骤、输入数据和期待结果是否清晰、正确；期待结果是否有明显的验证方法。</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是否已经删除了冗余的用例。</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是否包含充分的负面测试用例。</w:t>
      </w:r>
      <w:r>
        <w:rPr>
          <w:rFonts w:hint="eastAsia" w:ascii="微软雅黑" w:hAnsi="微软雅黑" w:eastAsia="微软雅黑" w:cs="宋体"/>
          <w:color w:val="000000"/>
          <w:kern w:val="0"/>
          <w:sz w:val="28"/>
          <w:szCs w:val="28"/>
        </w:rPr>
        <w:t>一般负面用例</w:t>
      </w:r>
      <w:r>
        <w:rPr>
          <w:rFonts w:ascii="微软雅黑" w:hAnsi="微软雅黑" w:eastAsia="微软雅黑" w:cs="宋体"/>
          <w:color w:val="000000"/>
          <w:kern w:val="0"/>
          <w:sz w:val="28"/>
          <w:szCs w:val="28"/>
        </w:rPr>
        <w:t>是4倍于正面用例的数量，毕竟一个健壮的软件，其中80%的代码都是在“保护”20%的功能实现。</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是否从用户层面来设计用户使用场景和使用流程的测试用例。</w:t>
      </w:r>
    </w:p>
    <w:p>
      <w:pPr>
        <w:pStyle w:val="15"/>
        <w:widowControl/>
        <w:numPr>
          <w:ilvl w:val="0"/>
          <w:numId w:val="4"/>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是否简洁，复用性强。例如，可将重复度高的步骤或过程抽取出来定义为一些可复用标准步骤。</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5、评审的方式</w:t>
      </w:r>
    </w:p>
    <w:p>
      <w:pPr>
        <w:pStyle w:val="15"/>
        <w:widowControl/>
        <w:numPr>
          <w:ilvl w:val="0"/>
          <w:numId w:val="5"/>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召开评审会议。与会者在设计人员讲解之后给出意见和建议，同时进行详细的评审记录。</w:t>
      </w:r>
    </w:p>
    <w:p>
      <w:pPr>
        <w:pStyle w:val="15"/>
        <w:widowControl/>
        <w:numPr>
          <w:ilvl w:val="0"/>
          <w:numId w:val="5"/>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通用邮件与相关人员沟通</w:t>
      </w:r>
    </w:p>
    <w:p>
      <w:pPr>
        <w:pStyle w:val="15"/>
        <w:widowControl/>
        <w:numPr>
          <w:ilvl w:val="0"/>
          <w:numId w:val="5"/>
        </w:numPr>
        <w:spacing w:before="225" w:after="225" w:line="345" w:lineRule="atLeast"/>
        <w:ind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通用</w:t>
      </w:r>
      <w:r>
        <w:rPr>
          <w:rFonts w:hint="eastAsia" w:ascii="微软雅黑" w:hAnsi="微软雅黑" w:eastAsia="微软雅黑" w:cs="宋体"/>
          <w:color w:val="000000"/>
          <w:kern w:val="0"/>
          <w:sz w:val="28"/>
          <w:szCs w:val="28"/>
        </w:rPr>
        <w:t>即时通信</w:t>
      </w:r>
      <w:r>
        <w:rPr>
          <w:rFonts w:ascii="微软雅黑" w:hAnsi="微软雅黑" w:eastAsia="微软雅黑" w:cs="宋体"/>
          <w:color w:val="000000"/>
          <w:kern w:val="0"/>
          <w:sz w:val="28"/>
          <w:szCs w:val="28"/>
        </w:rPr>
        <w:t>工具直接与相关人员交流</w:t>
      </w:r>
    </w:p>
    <w:p>
      <w:pPr>
        <w:pStyle w:val="15"/>
        <w:widowControl/>
        <w:spacing w:before="225" w:after="225" w:line="345" w:lineRule="atLeast"/>
        <w:ind w:left="420" w:firstLine="0"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方式只是手段，得到其它人员对于用例的反馈信息才是目的。</w:t>
      </w:r>
    </w:p>
    <w:p>
      <w:pPr>
        <w:pStyle w:val="15"/>
        <w:widowControl/>
        <w:spacing w:before="225" w:after="225" w:line="345" w:lineRule="atLeast"/>
        <w:ind w:left="420" w:firstLine="0" w:firstLineChars="0"/>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无论采用那种方式，都应该在沟通之前把用例设计的相关文档发送给对方进行前期的学习和了解，以节省沟通成本。</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6、评审结束标准</w:t>
      </w:r>
    </w:p>
    <w:p>
      <w:pPr>
        <w:widowControl/>
        <w:spacing w:before="225" w:after="225" w:line="345" w:lineRule="atLeast"/>
        <w:jc w:val="left"/>
        <w:rPr>
          <w:rFonts w:ascii="微软雅黑" w:hAnsi="微软雅黑" w:eastAsia="微软雅黑" w:cs="宋体"/>
          <w:color w:val="000000"/>
          <w:kern w:val="0"/>
          <w:sz w:val="28"/>
          <w:szCs w:val="28"/>
        </w:rPr>
      </w:pPr>
      <w:r>
        <w:rPr>
          <w:rFonts w:ascii="微软雅黑" w:hAnsi="微软雅黑" w:eastAsia="微软雅黑" w:cs="宋体"/>
          <w:color w:val="000000"/>
          <w:kern w:val="0"/>
          <w:sz w:val="28"/>
          <w:szCs w:val="28"/>
        </w:rPr>
        <w:t>在评审活动中会收集到用例的反馈信息，在此基础上进行用例更新，直到通过评审。</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spacing w:line="360" w:lineRule="auto"/>
      </w:pPr>
    </w:p>
    <w:p>
      <w:pPr>
        <w:widowControl/>
        <w:jc w:val="left"/>
        <w:rPr>
          <w:rFonts w:ascii="微软雅黑" w:hAnsi="微软雅黑" w:eastAsia="微软雅黑"/>
          <w:b/>
          <w:sz w:val="52"/>
          <w:szCs w:val="52"/>
        </w:rPr>
      </w:pPr>
    </w:p>
    <w:sectPr>
      <w:headerReference r:id="rId9" w:type="first"/>
      <w:headerReference r:id="rId7" w:type="default"/>
      <w:head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end"/>
    </w:r>
  </w:p>
  <w:p>
    <w:pP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pict>
        <v:shape id="PowerPlusWaterMarkObject2979075" o:spid="_x0000_s1030" o:spt="136" type="#_x0000_t136" style="position:absolute;left:0pt;height:117.15pt;width:468.7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979074" o:spid="_x0000_s1029" o:spt="136" type="#_x0000_t136" style="position:absolute;left:0pt;height:117.15pt;width:468.7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2979073" o:spid="_x0000_s1028" o:spt="136" type="#_x0000_t136" style="position:absolute;left:0pt;height:117.15pt;width:468.7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sz w:val="21"/>
        <w:szCs w:val="21"/>
      </w:rPr>
    </w:pPr>
    <w:r>
      <w:rPr>
        <w:b/>
        <w:sz w:val="21"/>
        <w:szCs w:val="21"/>
      </w:rPr>
      <w:pict>
        <v:shape id="PowerPlusWaterMarkObject3092893" o:spid="_x0000_s1027"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p>
    <w:pPr>
      <w:pStyle w:val="6"/>
      <w:jc w:val="right"/>
      <w:rPr>
        <w:b/>
        <w:sz w:val="21"/>
        <w:szCs w:val="21"/>
      </w:rPr>
    </w:pPr>
    <w:r>
      <w:rPr>
        <w:rFonts w:hint="eastAsia"/>
        <w:b/>
        <w:sz w:val="21"/>
        <w:szCs w:val="21"/>
      </w:rPr>
      <w:t>SHOP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3092892" o:spid="_x0000_s1026" o:spt="136" type="#_x0000_t136" style="position:absolute;left:0pt;height:117.1pt;width:468.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3092891" o:spid="_x0000_s1025"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内部文档" style="font-family:楷体_GB2312;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74E63"/>
    <w:multiLevelType w:val="multilevel"/>
    <w:tmpl w:val="18774E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5B2446D"/>
    <w:multiLevelType w:val="multilevel"/>
    <w:tmpl w:val="25B244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32072A0"/>
    <w:multiLevelType w:val="multilevel"/>
    <w:tmpl w:val="432072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EB11515"/>
    <w:multiLevelType w:val="multilevel"/>
    <w:tmpl w:val="4EB115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2D97D0C"/>
    <w:multiLevelType w:val="multilevel"/>
    <w:tmpl w:val="62D97D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A524C"/>
    <w:rsid w:val="00006CCD"/>
    <w:rsid w:val="0002751E"/>
    <w:rsid w:val="0003351B"/>
    <w:rsid w:val="00050C6F"/>
    <w:rsid w:val="0006233A"/>
    <w:rsid w:val="000F1134"/>
    <w:rsid w:val="000F3550"/>
    <w:rsid w:val="000F6B17"/>
    <w:rsid w:val="00100F2D"/>
    <w:rsid w:val="0010236F"/>
    <w:rsid w:val="0010777B"/>
    <w:rsid w:val="001119C6"/>
    <w:rsid w:val="00137A84"/>
    <w:rsid w:val="001544EC"/>
    <w:rsid w:val="0019275F"/>
    <w:rsid w:val="001A524C"/>
    <w:rsid w:val="001B1E3A"/>
    <w:rsid w:val="001C6002"/>
    <w:rsid w:val="0022249C"/>
    <w:rsid w:val="0023763C"/>
    <w:rsid w:val="0024108B"/>
    <w:rsid w:val="00272C19"/>
    <w:rsid w:val="002B05AB"/>
    <w:rsid w:val="002E3106"/>
    <w:rsid w:val="003164DF"/>
    <w:rsid w:val="003312F2"/>
    <w:rsid w:val="00383481"/>
    <w:rsid w:val="00393F8B"/>
    <w:rsid w:val="003C4EAE"/>
    <w:rsid w:val="00441506"/>
    <w:rsid w:val="00480319"/>
    <w:rsid w:val="004F6B64"/>
    <w:rsid w:val="0059497C"/>
    <w:rsid w:val="005D7FA4"/>
    <w:rsid w:val="00644FC7"/>
    <w:rsid w:val="00650278"/>
    <w:rsid w:val="0065174E"/>
    <w:rsid w:val="006D5CA7"/>
    <w:rsid w:val="006F4A8A"/>
    <w:rsid w:val="0072172A"/>
    <w:rsid w:val="007256CD"/>
    <w:rsid w:val="007C18B4"/>
    <w:rsid w:val="007D6553"/>
    <w:rsid w:val="0080440A"/>
    <w:rsid w:val="00852653"/>
    <w:rsid w:val="008A6A97"/>
    <w:rsid w:val="00901DF0"/>
    <w:rsid w:val="00905205"/>
    <w:rsid w:val="00970050"/>
    <w:rsid w:val="00975C8A"/>
    <w:rsid w:val="009814A8"/>
    <w:rsid w:val="009A2D2E"/>
    <w:rsid w:val="009D4917"/>
    <w:rsid w:val="009F2E57"/>
    <w:rsid w:val="00A539A3"/>
    <w:rsid w:val="00AD3CD7"/>
    <w:rsid w:val="00AE17E3"/>
    <w:rsid w:val="00B967A4"/>
    <w:rsid w:val="00BA51E2"/>
    <w:rsid w:val="00BB359B"/>
    <w:rsid w:val="00BD776B"/>
    <w:rsid w:val="00BF558E"/>
    <w:rsid w:val="00C07D62"/>
    <w:rsid w:val="00C70CF2"/>
    <w:rsid w:val="00C746AE"/>
    <w:rsid w:val="00CA2D26"/>
    <w:rsid w:val="00D04FE9"/>
    <w:rsid w:val="00D22A2D"/>
    <w:rsid w:val="00D27E8E"/>
    <w:rsid w:val="00D43E51"/>
    <w:rsid w:val="00D71191"/>
    <w:rsid w:val="00DA0A96"/>
    <w:rsid w:val="00E16B7F"/>
    <w:rsid w:val="00E452D0"/>
    <w:rsid w:val="00EB4047"/>
    <w:rsid w:val="00F20DD4"/>
    <w:rsid w:val="00F276AF"/>
    <w:rsid w:val="00F44676"/>
    <w:rsid w:val="00F62512"/>
    <w:rsid w:val="00FB0F7F"/>
    <w:rsid w:val="00FB5F93"/>
    <w:rsid w:val="00FB7EE4"/>
    <w:rsid w:val="00FC070B"/>
    <w:rsid w:val="00FD48F7"/>
    <w:rsid w:val="43DA5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3"/>
    <w:semiHidden/>
    <w:unhideWhenUsed/>
    <w:qFormat/>
    <w:uiPriority w:val="99"/>
    <w:rPr>
      <w:rFonts w:ascii="宋体" w:eastAsia="宋体"/>
      <w:sz w:val="18"/>
      <w:szCs w:val="18"/>
    </w:rPr>
  </w:style>
  <w:style w:type="paragraph" w:styleId="4">
    <w:name w:val="Balloon Text"/>
    <w:basedOn w:val="1"/>
    <w:link w:val="12"/>
    <w:semiHidden/>
    <w:unhideWhenUsed/>
    <w:qFormat/>
    <w:uiPriority w:val="99"/>
    <w:rPr>
      <w:sz w:val="18"/>
      <w:szCs w:val="18"/>
    </w:rPr>
  </w:style>
  <w:style w:type="paragraph" w:styleId="5">
    <w:name w:val="footer"/>
    <w:basedOn w:val="1"/>
    <w:link w:val="10"/>
    <w:semiHidden/>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99"/>
    <w:rPr>
      <w:sz w:val="18"/>
      <w:szCs w:val="18"/>
    </w:rPr>
  </w:style>
  <w:style w:type="character" w:customStyle="1" w:styleId="10">
    <w:name w:val="页脚 Char"/>
    <w:basedOn w:val="8"/>
    <w:link w:val="5"/>
    <w:semiHidden/>
    <w:qFormat/>
    <w:uiPriority w:val="99"/>
    <w:rPr>
      <w:sz w:val="18"/>
      <w:szCs w:val="18"/>
    </w:rPr>
  </w:style>
  <w:style w:type="paragraph" w:customStyle="1" w:styleId="11">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12">
    <w:name w:val="批注框文本 Char"/>
    <w:basedOn w:val="8"/>
    <w:link w:val="4"/>
    <w:semiHidden/>
    <w:qFormat/>
    <w:uiPriority w:val="99"/>
    <w:rPr>
      <w:sz w:val="18"/>
      <w:szCs w:val="18"/>
    </w:rPr>
  </w:style>
  <w:style w:type="character" w:customStyle="1" w:styleId="13">
    <w:name w:val="文档结构图 Char"/>
    <w:basedOn w:val="8"/>
    <w:link w:val="3"/>
    <w:semiHidden/>
    <w:qFormat/>
    <w:uiPriority w:val="99"/>
    <w:rPr>
      <w:rFonts w:ascii="宋体" w:eastAsia="宋体"/>
      <w:sz w:val="18"/>
      <w:szCs w:val="18"/>
    </w:rPr>
  </w:style>
  <w:style w:type="character" w:customStyle="1" w:styleId="14">
    <w:name w:val="标题 1 Char"/>
    <w:basedOn w:val="8"/>
    <w:link w:val="2"/>
    <w:qFormat/>
    <w:uiPriority w:val="9"/>
    <w:rPr>
      <w:b/>
      <w:bCs/>
      <w:kern w:val="44"/>
      <w:sz w:val="44"/>
      <w:szCs w:val="44"/>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29"/>
    <customShpInfo spid="_x0000_s1028"/>
    <customShpInfo spid="_x0000_s1027"/>
    <customShpInfo spid="_x0000_s1026"/>
    <customShpInfo spid="_x0000_s1025"/>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192</Words>
  <Characters>1095</Characters>
  <Lines>9</Lines>
  <Paragraphs>2</Paragraphs>
  <TotalTime>6</TotalTime>
  <ScaleCrop>false</ScaleCrop>
  <LinksUpToDate>false</LinksUpToDate>
  <CharactersWithSpaces>1285</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2018-12-14T08:09:00Z</dcterms:created>
  <dc:creator>zhangxs</dc:creator>
  <cp:lastModifiedBy>BOY</cp:lastModifiedBy>
  <dcterms:modified xsi:type="dcterms:W3CDTF">2021-11-09T15:42:57Z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F54E7B11FE2F4FD0B517B131932B7E87</vt:lpwstr>
  </property>
</Properties>
</file>