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交易锁定期对虚拟资产市场的影响</w:t>
      </w:r>
    </w:p>
    <w:p>
      <w:pPr>
        <w:jc w:val="center"/>
      </w:pPr>
      <w:r>
        <w:rPr>
          <w:rFonts w:ascii="Times New Roman" w:hAnsi="Times New Roman" w:eastAsia="黑体"/>
          <w:b/>
          <w:sz w:val="28"/>
        </w:rPr>
        <w:t>——基于博弈分析与多主体仿真，以CS2饰品市场为例</w:t>
      </w:r>
    </w:p>
    <w:p/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摘要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Abstract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第1章 绪论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1.1 研究背景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1.1.1 游戏虚拟资产二级市场的发展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1.1.2 倒卖投机与价格波动问题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1.1.3 平台的交易锁定期制度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1.1.4 交易限制在金融市场中的普遍性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1.2 研究问题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1.3 研究意义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1.3.1 理论意义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1.3.2 实践意义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1.4 研究对象界定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1.5 研究内容与技术路线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1.6 创新点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1.7 论文结构安排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第2章 文献综述与理论基础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2.1 交易限制相关研究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2.1.1 限售股解禁效应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2.1.2 T+1制度与交易冷却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2.1.3 数字资产的锁定与解锁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2.2 投机与市场稳定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2.3 博弈论在市场分析中的应用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2.4 多主体仿真在金融市场中的应用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2.5 游戏虚拟资产市场研究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2.6 文献述评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第3章 制度背景与案例分析：CS2饰品市场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3.1 游戏虚拟资产的金融属性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3.2 CS2饰品市场概况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3.3 Steam锁定期制度的演变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3.4 典型事件分析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3.5 与金融市场交易限制的比较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3.6 锁定期影响市场的机制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第4章 博弈模型构建与分析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4.1 基本设定与假设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4.2 第一阶段：倒卖者入场决策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4.2.1 倒卖收益函数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4.2.2 倒卖门槛的存在性与唯一性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4.2.3 比较静态分析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4.2.4 命题1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4.3 第二阶段：解锁抛售博弈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4.3.1 两人博弈与囚徒困境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4.3.2 N人博弈的对称均衡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4.3.3 命题2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4.4 模型局限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第5章 多主体仿真模型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5.1 总体设计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5.2 资产与市场环境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5.3 主体设计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5.3.1 玩家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5.3.2 倒卖者</w:t>
      </w:r>
    </w:p>
    <w:p>
      <w:pPr>
        <w:pStyle w:val="Heading3"/>
        <w:ind w:left="840"/>
      </w:pPr>
      <w:r>
        <w:rPr>
          <w:rFonts w:ascii="Times New Roman" w:hAnsi="Times New Roman" w:eastAsia="黑体"/>
          <w:b w:val="0"/>
          <w:sz w:val="24"/>
        </w:rPr>
        <w:t>5.3.3 解锁持有人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5.4 外生冲击设计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5.5 运行流程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5.6 评价指标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5.7 参数设定与模型检验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5.8 实现工具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第6章 仿真实验与结果分析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6.1 实验设计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6.2 实验一：锁定期对倒卖的抑制作用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6.3 实验二：解锁集中度与集体抛售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6.4 实验三：不同锁定期的综合比较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6.5 扩展实验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6.6 稳健性检验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6.7 本章小结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第7章 结论与政策建议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7.1 主要结论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7.2 对游戏交易平台的建议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7.3 对数字藏品平台及监管的启示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7.4 对证券市场交易限制的借鉴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7.5 研究局限与展望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附录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附录A 命题证明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附录B 仿真参数表</w:t>
      </w:r>
    </w:p>
    <w:p>
      <w:pPr>
        <w:pStyle w:val="Heading2"/>
        <w:ind w:left="420"/>
      </w:pPr>
      <w:r>
        <w:rPr>
          <w:rFonts w:ascii="Times New Roman" w:hAnsi="Times New Roman" w:eastAsia="黑体"/>
          <w:b/>
          <w:sz w:val="28"/>
        </w:rPr>
        <w:t>附录C 核心代码</w:t>
      </w:r>
    </w:p>
    <w:p>
      <w:pPr>
        <w:pStyle w:val="Heading1"/>
        <w:ind w:left="0"/>
      </w:pPr>
      <w:r>
        <w:rPr>
          <w:rFonts w:ascii="Times New Roman" w:hAnsi="Times New Roman" w:eastAsia="黑体"/>
          <w:b/>
          <w:sz w:val="32"/>
        </w:rPr>
        <w:t>致谢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