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B8AE" w14:textId="2D3EB9E8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b/>
          <w:color w:val="000000"/>
          <w:sz w:val="24"/>
        </w:rPr>
        <w:t>1</w:t>
      </w:r>
      <w:r w:rsidRPr="007020E0">
        <w:rPr>
          <w:rFonts w:ascii="Times New Roman" w:eastAsia="仿宋" w:hAnsi="Times New Roman" w:hint="eastAsia"/>
          <w:b/>
          <w:color w:val="000000"/>
          <w:sz w:val="24"/>
        </w:rPr>
        <w:t>、基本信息</w:t>
      </w:r>
    </w:p>
    <w:p w14:paraId="0C82CCED" w14:textId="75AA856E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1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="00F919AB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实施主体：</w:t>
      </w:r>
      <w:r w:rsidRPr="007020E0">
        <w:rPr>
          <w:rFonts w:ascii="Times New Roman" w:eastAsia="仿宋" w:hAnsi="Times New Roman" w:hint="eastAsia"/>
          <w:color w:val="000000"/>
          <w:sz w:val="24"/>
        </w:rPr>
        <w:t>XXX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农场</w:t>
      </w:r>
    </w:p>
    <w:p w14:paraId="10FC58E6" w14:textId="130831F0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2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种植作物：作物品种（示例：粉果番茄）</w:t>
      </w:r>
    </w:p>
    <w:p w14:paraId="7CB8F3DD" w14:textId="4EC06E6E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 w:cs="宋体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3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判定基准：以该作物官方核定</w:t>
      </w:r>
      <w:proofErr w:type="gramStart"/>
      <w:r w:rsidRPr="007020E0">
        <w:rPr>
          <w:rFonts w:ascii="Times New Roman" w:eastAsia="仿宋" w:hAnsi="Times New Roman" w:cs="宋体" w:hint="eastAsia"/>
          <w:color w:val="000000"/>
          <w:sz w:val="24"/>
        </w:rPr>
        <w:t>最</w:t>
      </w:r>
      <w:proofErr w:type="gramEnd"/>
      <w:r w:rsidRPr="007020E0">
        <w:rPr>
          <w:rFonts w:ascii="Times New Roman" w:eastAsia="仿宋" w:hAnsi="Times New Roman" w:cs="宋体" w:hint="eastAsia"/>
          <w:color w:val="000000"/>
          <w:sz w:val="24"/>
        </w:rPr>
        <w:t>适生长土壤阈值（</w:t>
      </w:r>
      <w:r w:rsidRPr="007020E0">
        <w:rPr>
          <w:rFonts w:ascii="Times New Roman" w:eastAsia="仿宋" w:hAnsi="Times New Roman" w:hint="eastAsia"/>
          <w:color w:val="000000"/>
          <w:sz w:val="24"/>
        </w:rPr>
        <w:t>pH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、有机质、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配比、重金属富集阈值、土传病害耐受度）作为全方案适配判定标准</w:t>
      </w:r>
    </w:p>
    <w:p w14:paraId="4D965D6F" w14:textId="6B8572C0" w:rsidR="00087E9C" w:rsidRPr="00441602" w:rsidRDefault="00087E9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b/>
          <w:sz w:val="24"/>
        </w:rPr>
      </w:pPr>
      <w:r w:rsidRPr="00441602">
        <w:rPr>
          <w:rFonts w:ascii="Times New Roman" w:eastAsia="仿宋" w:hAnsi="Times New Roman" w:hint="eastAsia"/>
          <w:b/>
          <w:color w:val="000000"/>
          <w:sz w:val="24"/>
        </w:rPr>
        <w:t>2</w:t>
      </w:r>
      <w:r w:rsidRPr="00441602">
        <w:rPr>
          <w:rFonts w:ascii="Times New Roman" w:eastAsia="仿宋" w:hAnsi="Times New Roman" w:hint="eastAsia"/>
          <w:b/>
          <w:color w:val="000000"/>
          <w:sz w:val="24"/>
        </w:rPr>
        <w:t>、</w:t>
      </w:r>
      <w:r w:rsidR="00196EE7" w:rsidRPr="00441602">
        <w:rPr>
          <w:rFonts w:ascii="Times New Roman" w:eastAsia="仿宋" w:hAnsi="Times New Roman" w:hint="eastAsia"/>
          <w:b/>
          <w:sz w:val="24"/>
        </w:rPr>
        <w:t>土壤酸碱度专项改良作业</w:t>
      </w:r>
    </w:p>
    <w:p w14:paraId="1D3ABD62" w14:textId="7777777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（一）指标判定规则（唯一判定标准）</w:t>
      </w:r>
    </w:p>
    <w:p w14:paraId="71800D20" w14:textId="3433B6A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仅区分两类场景，不涉及土壤降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碱性改良作业：土壤实测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＜作物</w:t>
      </w:r>
      <w:proofErr w:type="gramStart"/>
      <w:r w:rsidRPr="007020E0">
        <w:rPr>
          <w:rFonts w:ascii="Times New Roman" w:eastAsia="仿宋" w:hAnsi="Times New Roman" w:hint="eastAsia"/>
          <w:sz w:val="24"/>
        </w:rPr>
        <w:t>最</w:t>
      </w:r>
      <w:proofErr w:type="gramEnd"/>
      <w:r w:rsidRPr="007020E0">
        <w:rPr>
          <w:rFonts w:ascii="Times New Roman" w:eastAsia="仿宋" w:hAnsi="Times New Roman" w:hint="eastAsia"/>
          <w:sz w:val="24"/>
        </w:rPr>
        <w:t>适生长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，判定为不适配，需上调土壤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；土壤实测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≥作物</w:t>
      </w:r>
      <w:proofErr w:type="gramStart"/>
      <w:r w:rsidRPr="007020E0">
        <w:rPr>
          <w:rFonts w:ascii="Times New Roman" w:eastAsia="仿宋" w:hAnsi="Times New Roman" w:hint="eastAsia"/>
          <w:sz w:val="24"/>
        </w:rPr>
        <w:t>最</w:t>
      </w:r>
      <w:proofErr w:type="gramEnd"/>
      <w:r w:rsidRPr="007020E0">
        <w:rPr>
          <w:rFonts w:ascii="Times New Roman" w:eastAsia="仿宋" w:hAnsi="Times New Roman" w:hint="eastAsia"/>
          <w:sz w:val="24"/>
        </w:rPr>
        <w:t>适生长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，判定为适配，无需酸碱度改良。</w:t>
      </w:r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（后台数据中有作物</w:t>
      </w:r>
      <w:proofErr w:type="gramStart"/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最</w:t>
      </w:r>
      <w:proofErr w:type="gramEnd"/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适</w:t>
      </w:r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pH</w:t>
      </w:r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区间</w:t>
      </w:r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,</w:t>
      </w:r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根据对比相应的</w:t>
      </w:r>
      <w:proofErr w:type="gramStart"/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最</w:t>
      </w:r>
      <w:proofErr w:type="gramEnd"/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适</w:t>
      </w:r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pH</w:t>
      </w:r>
      <w:r w:rsidR="00F37B04" w:rsidRPr="00F37B04">
        <w:rPr>
          <w:rFonts w:ascii="Times New Roman" w:eastAsia="仿宋" w:hAnsi="Times New Roman" w:hint="eastAsia"/>
          <w:sz w:val="24"/>
          <w:highlight w:val="yellow"/>
        </w:rPr>
        <w:t>确定）</w:t>
      </w:r>
    </w:p>
    <w:p w14:paraId="58846B20" w14:textId="7777777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sz w:val="24"/>
        </w:rPr>
        <w:t>填报）</w:t>
      </w:r>
    </w:p>
    <w:p w14:paraId="6B0E970B" w14:textId="71A54ED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适配无需改良：地块土壤实测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值为</w:t>
      </w:r>
      <w:r w:rsidRPr="007020E0">
        <w:rPr>
          <w:rFonts w:ascii="Times New Roman" w:eastAsia="仿宋" w:hAnsi="Times New Roman" w:hint="eastAsia"/>
          <w:sz w:val="24"/>
        </w:rPr>
        <w:t>____</w:t>
      </w:r>
      <w:r w:rsidRPr="007020E0">
        <w:rPr>
          <w:rFonts w:ascii="Times New Roman" w:eastAsia="仿宋" w:hAnsi="Times New Roman" w:hint="eastAsia"/>
          <w:sz w:val="24"/>
        </w:rPr>
        <w:t>，数值满足</w:t>
      </w:r>
      <w:r w:rsidRPr="007020E0">
        <w:rPr>
          <w:rFonts w:ascii="Times New Roman" w:eastAsia="仿宋" w:hAnsi="Times New Roman" w:hint="eastAsia"/>
          <w:sz w:val="24"/>
        </w:rPr>
        <w:t>____</w:t>
      </w:r>
      <w:r w:rsidRPr="007020E0">
        <w:rPr>
          <w:rFonts w:ascii="Times New Roman" w:eastAsia="仿宋" w:hAnsi="Times New Roman" w:hint="eastAsia"/>
          <w:sz w:val="24"/>
        </w:rPr>
        <w:t>作物全生育期生长阈值，酸碱度适配，无需开展土壤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改良作业。</w:t>
      </w:r>
    </w:p>
    <w:p w14:paraId="7FB0EB87" w14:textId="212C014B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proofErr w:type="gramStart"/>
      <w:r w:rsidRPr="007020E0">
        <w:rPr>
          <w:rFonts w:ascii="Times New Roman" w:eastAsia="仿宋" w:hAnsi="Times New Roman" w:hint="eastAsia"/>
          <w:sz w:val="24"/>
        </w:rPr>
        <w:t>不适配需改良</w:t>
      </w:r>
      <w:proofErr w:type="gramEnd"/>
      <w:r w:rsidRPr="007020E0">
        <w:rPr>
          <w:rFonts w:ascii="Times New Roman" w:eastAsia="仿宋" w:hAnsi="Times New Roman" w:hint="eastAsia"/>
          <w:sz w:val="24"/>
        </w:rPr>
        <w:t>：地块土壤实测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值为</w:t>
      </w:r>
      <w:r w:rsidRPr="007020E0">
        <w:rPr>
          <w:rFonts w:ascii="Times New Roman" w:eastAsia="仿宋" w:hAnsi="Times New Roman" w:hint="eastAsia"/>
          <w:sz w:val="24"/>
        </w:rPr>
        <w:t>____</w:t>
      </w:r>
      <w:r w:rsidRPr="007020E0">
        <w:rPr>
          <w:rFonts w:ascii="Times New Roman" w:eastAsia="仿宋" w:hAnsi="Times New Roman" w:hint="eastAsia"/>
          <w:sz w:val="24"/>
        </w:rPr>
        <w:t>，数值低于</w:t>
      </w:r>
      <w:r w:rsidRPr="007020E0">
        <w:rPr>
          <w:rFonts w:ascii="Times New Roman" w:eastAsia="仿宋" w:hAnsi="Times New Roman" w:hint="eastAsia"/>
          <w:sz w:val="24"/>
        </w:rPr>
        <w:t>____</w:t>
      </w:r>
      <w:r w:rsidRPr="007020E0">
        <w:rPr>
          <w:rFonts w:ascii="Times New Roman" w:eastAsia="仿宋" w:hAnsi="Times New Roman" w:hint="eastAsia"/>
          <w:sz w:val="24"/>
        </w:rPr>
        <w:t>作物</w:t>
      </w:r>
      <w:proofErr w:type="gramStart"/>
      <w:r w:rsidRPr="007020E0">
        <w:rPr>
          <w:rFonts w:ascii="Times New Roman" w:eastAsia="仿宋" w:hAnsi="Times New Roman" w:hint="eastAsia"/>
          <w:sz w:val="24"/>
        </w:rPr>
        <w:t>最</w:t>
      </w:r>
      <w:proofErr w:type="gramEnd"/>
      <w:r w:rsidRPr="007020E0">
        <w:rPr>
          <w:rFonts w:ascii="Times New Roman" w:eastAsia="仿宋" w:hAnsi="Times New Roman" w:hint="eastAsia"/>
          <w:sz w:val="24"/>
        </w:rPr>
        <w:t>适生长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值，土壤偏酸不适宜作物根系发育，需上调土壤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值</w:t>
      </w:r>
      <w:r w:rsidRPr="007020E0">
        <w:rPr>
          <w:rFonts w:ascii="Times New Roman" w:eastAsia="仿宋" w:hAnsi="Times New Roman" w:hint="eastAsia"/>
          <w:sz w:val="24"/>
        </w:rPr>
        <w:t>____</w:t>
      </w:r>
      <w:r w:rsidR="00984F71">
        <w:rPr>
          <w:rFonts w:ascii="Times New Roman" w:eastAsia="仿宋" w:hAnsi="Times New Roman" w:hint="eastAsia"/>
          <w:sz w:val="24"/>
        </w:rPr>
        <w:t>，</w:t>
      </w:r>
      <w:r w:rsidR="00984F71" w:rsidRPr="007020E0">
        <w:rPr>
          <w:rFonts w:ascii="Times New Roman" w:eastAsia="仿宋" w:hAnsi="Times New Roman" w:hint="eastAsia"/>
          <w:color w:val="000000"/>
          <w:sz w:val="24"/>
        </w:rPr>
        <w:t>配套</w:t>
      </w:r>
      <w:r w:rsidR="00984F71">
        <w:rPr>
          <w:rFonts w:ascii="Times New Roman" w:eastAsia="仿宋" w:hAnsi="Times New Roman" w:hint="eastAsia"/>
          <w:color w:val="000000"/>
          <w:sz w:val="24"/>
        </w:rPr>
        <w:t>土壤调理剂</w:t>
      </w:r>
      <w:r w:rsidR="00984F71" w:rsidRPr="007020E0">
        <w:rPr>
          <w:rFonts w:ascii="Times New Roman" w:eastAsia="仿宋" w:hAnsi="Times New Roman" w:hint="eastAsia"/>
          <w:color w:val="000000"/>
          <w:sz w:val="24"/>
        </w:rPr>
        <w:t>施用信息如下表。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8"/>
        <w:gridCol w:w="915"/>
        <w:gridCol w:w="1492"/>
        <w:gridCol w:w="1492"/>
        <w:gridCol w:w="1353"/>
        <w:gridCol w:w="1750"/>
      </w:tblGrid>
      <w:tr w:rsidR="00087E9C" w:rsidRPr="007020E0" w14:paraId="7D8D660B" w14:textId="77777777" w:rsidTr="00984F71">
        <w:trPr>
          <w:trHeight w:val="340"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352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调理</w:t>
            </w:r>
            <w:proofErr w:type="gramStart"/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剂类型</w:t>
            </w:r>
            <w:proofErr w:type="gramEnd"/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B2F9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DA10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8F5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323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C09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087E9C" w:rsidRPr="007020E0" w14:paraId="460A5822" w14:textId="77777777" w:rsidTr="00984F71">
        <w:trPr>
          <w:trHeight w:val="360"/>
          <w:jc w:val="center"/>
        </w:trPr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BF5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  <w:p w14:paraId="300A26EE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12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酸性土壤调理剂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51A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46CF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54B5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72D47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0E83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393362CC" w14:textId="77777777" w:rsidTr="00984F71">
        <w:trPr>
          <w:trHeight w:val="360"/>
          <w:jc w:val="center"/>
        </w:trPr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E061" w14:textId="77777777" w:rsidR="00087E9C" w:rsidRPr="007020E0" w:rsidRDefault="00087E9C" w:rsidP="00984F71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9C6A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6AAC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0BFE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2025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83A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5A8A5FD4" w14:textId="77777777" w:rsidTr="00984F71">
        <w:trPr>
          <w:trHeight w:val="380"/>
          <w:jc w:val="center"/>
        </w:trPr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0581" w14:textId="77777777" w:rsidR="00087E9C" w:rsidRPr="007020E0" w:rsidRDefault="00087E9C" w:rsidP="00984F71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9CDB9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6245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502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AE306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1947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08C0C601" w14:textId="1FB58E60" w:rsidR="00410D2F" w:rsidRPr="00984F71" w:rsidRDefault="00410D2F" w:rsidP="00410D2F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>
        <w:rPr>
          <w:rFonts w:ascii="Times New Roman" w:eastAsia="仿宋" w:hAnsi="Times New Roman" w:hint="eastAsia"/>
          <w:b/>
          <w:bCs/>
          <w:color w:val="000000"/>
          <w:sz w:val="24"/>
        </w:rPr>
        <w:t>3</w:t>
      </w: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、土传病害微生物防控</w:t>
      </w:r>
    </w:p>
    <w:p w14:paraId="6678BA20" w14:textId="77777777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（一）指标判定规则</w:t>
      </w:r>
    </w:p>
    <w:p w14:paraId="408957F2" w14:textId="1375F1FB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结合地块历年发病记录、土壤病原菌检测数据，将土传病害风险划分为低、高两个个等级，以</w:t>
      </w:r>
      <w:r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作物土传病害耐受阈值为判定标准，分级制定防控方案。</w:t>
      </w:r>
      <w:r w:rsidR="00AF49DC">
        <w:rPr>
          <w:rFonts w:ascii="Times New Roman" w:eastAsia="仿宋" w:hAnsi="Times New Roman" w:hint="eastAsia"/>
          <w:color w:val="000000"/>
          <w:sz w:val="24"/>
        </w:rPr>
        <w:t>（</w:t>
      </w:r>
      <w:r w:rsidR="00AF49DC" w:rsidRPr="00AF49DC">
        <w:rPr>
          <w:rFonts w:ascii="Times New Roman" w:eastAsia="仿宋" w:hAnsi="Times New Roman" w:hint="eastAsia"/>
          <w:color w:val="000000"/>
          <w:sz w:val="24"/>
          <w:highlight w:val="yellow"/>
        </w:rPr>
        <w:t>目前病原菌阈值均为</w:t>
      </w:r>
      <w:r w:rsidR="00AF49DC" w:rsidRPr="00AF49DC">
        <w:rPr>
          <w:rFonts w:ascii="Times New Roman" w:eastAsia="仿宋" w:hAnsi="Times New Roman" w:hint="eastAsia"/>
          <w:color w:val="000000"/>
          <w:sz w:val="24"/>
          <w:highlight w:val="yellow"/>
        </w:rPr>
        <w:t>0.5%</w:t>
      </w:r>
      <w:r w:rsidR="00AF49DC">
        <w:rPr>
          <w:rFonts w:ascii="Times New Roman" w:eastAsia="仿宋" w:hAnsi="Times New Roman" w:hint="eastAsia"/>
          <w:color w:val="000000"/>
          <w:sz w:val="24"/>
        </w:rPr>
        <w:t>）</w:t>
      </w:r>
    </w:p>
    <w:p w14:paraId="6FFFB9E0" w14:textId="77777777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408AB3D8" w14:textId="6070A06F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低风险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无需专项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防控：地块土传病害发生率为低，病原菌基数低，契合</w:t>
      </w:r>
      <w:r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作物病害耐受标准，无需额外施用防控菌剂，常规田间管理即可防控病害。</w:t>
      </w:r>
    </w:p>
    <w:p w14:paraId="24224DD9" w14:textId="17A9FBCC" w:rsidR="00410D2F" w:rsidRPr="007020E0" w:rsidRDefault="00410D2F" w:rsidP="001964C4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100" w:firstLine="24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lastRenderedPageBreak/>
        <w:t xml:space="preserve"> </w:t>
      </w:r>
      <w:r w:rsidRPr="007020E0">
        <w:rPr>
          <w:rFonts w:ascii="Times New Roman" w:eastAsia="仿宋" w:hAnsi="Times New Roman" w:hint="eastAsia"/>
          <w:color w:val="000000"/>
          <w:sz w:val="24"/>
        </w:rPr>
        <w:t>高风险需专项防控：地块土传病害发生率为中</w:t>
      </w:r>
      <w:r w:rsidRPr="007020E0">
        <w:rPr>
          <w:rFonts w:ascii="Times New Roman" w:eastAsia="仿宋" w:hAnsi="Times New Roman" w:hint="eastAsia"/>
          <w:color w:val="000000"/>
          <w:sz w:val="24"/>
        </w:rPr>
        <w:t>/</w:t>
      </w:r>
      <w:r w:rsidRPr="007020E0">
        <w:rPr>
          <w:rFonts w:ascii="Times New Roman" w:eastAsia="仿宋" w:hAnsi="Times New Roman" w:hint="eastAsia"/>
          <w:color w:val="000000"/>
          <w:sz w:val="24"/>
        </w:rPr>
        <w:t>高，病原菌基数超标，易引发苗期死苗、生长期烂根等土传病害，需补充专用病害防控微生物菌剂抑菌控病，配套菌剂施用信息如下表。</w:t>
      </w:r>
    </w:p>
    <w:tbl>
      <w:tblPr>
        <w:tblW w:w="0" w:type="auto"/>
        <w:tblInd w:w="2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1840"/>
        <w:gridCol w:w="1760"/>
        <w:gridCol w:w="1720"/>
        <w:gridCol w:w="1720"/>
      </w:tblGrid>
      <w:tr w:rsidR="00410D2F" w:rsidRPr="007020E0" w14:paraId="246004ED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3248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D3B0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F77B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FCC7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48FD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410D2F" w:rsidRPr="007020E0" w14:paraId="771F84DF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9CB0C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F41C3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A8460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502A1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2DDB1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410D2F" w:rsidRPr="007020E0" w14:paraId="711230BD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95A59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BB36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9C6E8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08648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C1D06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4FE15AC3" w14:textId="5FBF2F01" w:rsidR="00087E9C" w:rsidRPr="007020E0" w:rsidRDefault="00410D2F" w:rsidP="00441602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>
        <w:rPr>
          <w:rFonts w:ascii="Times New Roman" w:eastAsia="仿宋" w:hAnsi="Times New Roman" w:hint="eastAsia"/>
          <w:b/>
          <w:color w:val="000000"/>
          <w:sz w:val="24"/>
        </w:rPr>
        <w:t>4</w:t>
      </w:r>
      <w:r w:rsidR="00087E9C" w:rsidRPr="007020E0">
        <w:rPr>
          <w:rFonts w:ascii="Times New Roman" w:eastAsia="仿宋" w:hAnsi="Times New Roman" w:hint="eastAsia"/>
          <w:b/>
          <w:color w:val="000000"/>
          <w:sz w:val="24"/>
        </w:rPr>
        <w:t>、有机质提升</w:t>
      </w:r>
    </w:p>
    <w:p w14:paraId="3914200B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（一）指标判定规则</w:t>
      </w:r>
    </w:p>
    <w:p w14:paraId="541E2634" w14:textId="7FAFA5B3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以</w:t>
      </w:r>
      <w:r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作物全周期有机质需求阈值为标准，实测有机质达标即适配，低于阈值则判定土壤肥力不足，需定向补充商品有机肥提质改良。</w:t>
      </w:r>
      <w:r w:rsidR="00410D2F" w:rsidRPr="00410D2F">
        <w:rPr>
          <w:rFonts w:ascii="Times New Roman" w:eastAsia="仿宋" w:hAnsi="Times New Roman" w:hint="eastAsia"/>
          <w:color w:val="000000"/>
          <w:sz w:val="24"/>
          <w:highlight w:val="yellow"/>
        </w:rPr>
        <w:t>（若农场基础土壤测定病原菌为高风险，施用生物有机肥，</w:t>
      </w:r>
      <w:proofErr w:type="gramStart"/>
      <w:r w:rsidR="00410D2F" w:rsidRPr="00410D2F">
        <w:rPr>
          <w:rFonts w:ascii="Times New Roman" w:eastAsia="仿宋" w:hAnsi="Times New Roman" w:hint="eastAsia"/>
          <w:color w:val="000000"/>
          <w:sz w:val="24"/>
          <w:highlight w:val="yellow"/>
        </w:rPr>
        <w:t>则先姜生物</w:t>
      </w:r>
      <w:proofErr w:type="gramEnd"/>
      <w:r w:rsidR="00410D2F" w:rsidRPr="00410D2F">
        <w:rPr>
          <w:rFonts w:ascii="Times New Roman" w:eastAsia="仿宋" w:hAnsi="Times New Roman" w:hint="eastAsia"/>
          <w:color w:val="000000"/>
          <w:sz w:val="24"/>
          <w:highlight w:val="yellow"/>
        </w:rPr>
        <w:t>有机肥施用后的有机质校正）</w:t>
      </w:r>
    </w:p>
    <w:p w14:paraId="23AC7B6C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2B07B29B" w14:textId="509BD8E4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适配无需改良：地块土壤</w:t>
      </w:r>
      <w:r w:rsidR="00410D2F">
        <w:rPr>
          <w:rFonts w:ascii="Times New Roman" w:eastAsia="仿宋" w:hAnsi="Times New Roman" w:hint="eastAsia"/>
          <w:color w:val="000000"/>
          <w:sz w:val="24"/>
        </w:rPr>
        <w:t>校正</w:t>
      </w:r>
      <w:r w:rsidRPr="007020E0">
        <w:rPr>
          <w:rFonts w:ascii="Times New Roman" w:eastAsia="仿宋" w:hAnsi="Times New Roman" w:hint="eastAsia"/>
          <w:color w:val="000000"/>
          <w:sz w:val="24"/>
        </w:rPr>
        <w:t>有机质含量为</w:t>
      </w:r>
      <w:r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Pr="007020E0">
        <w:rPr>
          <w:rFonts w:ascii="Times New Roman" w:eastAsia="仿宋" w:hAnsi="Times New Roman" w:hint="eastAsia"/>
          <w:color w:val="000000"/>
          <w:sz w:val="24"/>
        </w:rPr>
        <w:t>，满足</w:t>
      </w:r>
      <w:r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作物生长肥力需求，有机质达标，无需额外补充有机肥。</w:t>
      </w:r>
    </w:p>
    <w:p w14:paraId="1363D970" w14:textId="1FC2CD7A" w:rsidR="00087E9C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不适配需改良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：地块土壤</w:t>
      </w:r>
      <w:r w:rsidR="00410D2F">
        <w:rPr>
          <w:rFonts w:ascii="Times New Roman" w:eastAsia="仿宋" w:hAnsi="Times New Roman" w:hint="eastAsia"/>
          <w:color w:val="000000"/>
          <w:sz w:val="24"/>
        </w:rPr>
        <w:t>校正</w:t>
      </w:r>
      <w:r w:rsidRPr="007020E0">
        <w:rPr>
          <w:rFonts w:ascii="Times New Roman" w:eastAsia="仿宋" w:hAnsi="Times New Roman" w:hint="eastAsia"/>
          <w:color w:val="000000"/>
          <w:sz w:val="24"/>
        </w:rPr>
        <w:t>有机质含量为</w:t>
      </w:r>
      <w:r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Pr="007020E0">
        <w:rPr>
          <w:rFonts w:ascii="Times New Roman" w:eastAsia="仿宋" w:hAnsi="Times New Roman" w:hint="eastAsia"/>
          <w:color w:val="000000"/>
          <w:sz w:val="24"/>
        </w:rPr>
        <w:t>，未达到</w:t>
      </w:r>
      <w:r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作物生长肥力标准，需定量补充商品有机肥提升土壤有机质含量，配套有机肥施用信息如下表。</w:t>
      </w:r>
    </w:p>
    <w:tbl>
      <w:tblPr>
        <w:tblW w:w="0" w:type="auto"/>
        <w:tblInd w:w="1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0"/>
        <w:gridCol w:w="1800"/>
        <w:gridCol w:w="1820"/>
        <w:gridCol w:w="1760"/>
        <w:gridCol w:w="1780"/>
      </w:tblGrid>
      <w:tr w:rsidR="00087E9C" w:rsidRPr="007020E0" w14:paraId="2AD6E82C" w14:textId="77777777" w:rsidTr="00F50217">
        <w:trPr>
          <w:trHeight w:val="36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550E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0335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CB50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2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ABB6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0B1C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087E9C" w:rsidRPr="007020E0" w14:paraId="7245BFFE" w14:textId="77777777" w:rsidTr="00F50217">
        <w:trPr>
          <w:trHeight w:val="38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B6E8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68A5E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718CF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7CD0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4199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7CCF0369" w14:textId="77777777" w:rsidTr="00F50217">
        <w:trPr>
          <w:trHeight w:val="36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357D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30D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67D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3E5D0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466F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12B785E3" w14:textId="447B2D5A" w:rsidR="005659CC" w:rsidRPr="00984F71" w:rsidRDefault="00087E9C" w:rsidP="00984F71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5</w:t>
      </w: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、养分比例调整</w:t>
      </w:r>
    </w:p>
    <w:p w14:paraId="01955758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（一）基础养分现状</w:t>
      </w:r>
    </w:p>
    <w:p w14:paraId="0E1E585F" w14:textId="4D3E722F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地块原生土壤速效养分比例：水解氮：有效磷：速效钾</w:t>
      </w:r>
      <w:r w:rsidRPr="007020E0">
        <w:rPr>
          <w:rFonts w:ascii="Times New Roman" w:eastAsia="仿宋" w:hAnsi="Times New Roman" w:hint="eastAsia"/>
          <w:sz w:val="24"/>
        </w:rPr>
        <w:t>=</w:t>
      </w:r>
      <w:r w:rsidR="00E9335B">
        <w:rPr>
          <w:rFonts w:ascii="Times New Roman" w:eastAsia="仿宋" w:hAnsi="Times New Roman" w:hint="eastAsia"/>
          <w:sz w:val="24"/>
        </w:rPr>
        <w:t xml:space="preserve"> </w:t>
      </w:r>
      <w:r w:rsidR="00E9335B">
        <w:rPr>
          <w:rFonts w:ascii="Times New Roman" w:eastAsia="仿宋" w:hAnsi="Times New Roman" w:hint="eastAsia"/>
          <w:sz w:val="24"/>
        </w:rPr>
        <w:t>（实例：</w:t>
      </w:r>
      <w:r w:rsidR="00E9335B">
        <w:rPr>
          <w:rFonts w:ascii="Times New Roman" w:eastAsia="仿宋" w:hAnsi="Times New Roman" w:hint="eastAsia"/>
          <w:sz w:val="24"/>
        </w:rPr>
        <w:t>3</w:t>
      </w:r>
      <w:r w:rsidR="00E9335B">
        <w:rPr>
          <w:rFonts w:ascii="Times New Roman" w:eastAsia="仿宋" w:hAnsi="Times New Roman" w:hint="eastAsia"/>
          <w:sz w:val="24"/>
        </w:rPr>
        <w:t>：</w:t>
      </w:r>
      <w:r w:rsidR="00E9335B">
        <w:rPr>
          <w:rFonts w:ascii="Times New Roman" w:eastAsia="仿宋" w:hAnsi="Times New Roman" w:hint="eastAsia"/>
          <w:sz w:val="24"/>
        </w:rPr>
        <w:t>2</w:t>
      </w:r>
      <w:r w:rsidR="00E9335B">
        <w:rPr>
          <w:rFonts w:ascii="Times New Roman" w:eastAsia="仿宋" w:hAnsi="Times New Roman" w:hint="eastAsia"/>
          <w:sz w:val="24"/>
        </w:rPr>
        <w:t>：</w:t>
      </w:r>
      <w:r w:rsidR="00E9335B">
        <w:rPr>
          <w:rFonts w:ascii="Times New Roman" w:eastAsia="仿宋" w:hAnsi="Times New Roman" w:hint="eastAsia"/>
          <w:sz w:val="24"/>
        </w:rPr>
        <w:t>5</w:t>
      </w:r>
      <w:r w:rsidR="00E9335B">
        <w:rPr>
          <w:rFonts w:ascii="Times New Roman" w:eastAsia="仿宋" w:hAnsi="Times New Roman" w:hint="eastAsia"/>
          <w:sz w:val="24"/>
        </w:rPr>
        <w:t>）</w:t>
      </w:r>
    </w:p>
    <w:p w14:paraId="7D2B56A0" w14:textId="5518CB44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4515B2E8" w14:textId="2101D8A4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配比适配无需化肥调肥：校核后</w:t>
      </w:r>
      <w:r w:rsidRPr="007020E0">
        <w:rPr>
          <w:rFonts w:ascii="Times New Roman" w:eastAsia="仿宋" w:hAnsi="Times New Roman" w:hint="eastAsia"/>
          <w:sz w:val="24"/>
        </w:rPr>
        <w:t>3:2:5</w:t>
      </w:r>
      <w:r w:rsidRPr="007020E0">
        <w:rPr>
          <w:rFonts w:ascii="Times New Roman" w:eastAsia="仿宋" w:hAnsi="Times New Roman" w:hint="eastAsia"/>
          <w:sz w:val="24"/>
        </w:rPr>
        <w:t>养分比例，与</w:t>
      </w:r>
      <w:r w:rsidRPr="007020E0">
        <w:rPr>
          <w:rFonts w:ascii="Times New Roman" w:eastAsia="仿宋" w:hAnsi="Times New Roman" w:hint="eastAsia"/>
          <w:sz w:val="24"/>
        </w:rPr>
        <w:t>____</w:t>
      </w:r>
      <w:r w:rsidRPr="007020E0">
        <w:rPr>
          <w:rFonts w:ascii="Times New Roman" w:eastAsia="仿宋" w:hAnsi="Times New Roman" w:hint="eastAsia"/>
          <w:sz w:val="24"/>
        </w:rPr>
        <w:t>作物根系生长最佳养分配比完全匹配，可满足作物生根、壮根养分需求，无需额外施用单质</w:t>
      </w:r>
      <w:r w:rsidRPr="007020E0">
        <w:rPr>
          <w:rFonts w:ascii="Times New Roman" w:eastAsia="仿宋" w:hAnsi="Times New Roman" w:hint="eastAsia"/>
          <w:sz w:val="24"/>
        </w:rPr>
        <w:t>/</w:t>
      </w:r>
      <w:r w:rsidRPr="007020E0">
        <w:rPr>
          <w:rFonts w:ascii="Times New Roman" w:eastAsia="仿宋" w:hAnsi="Times New Roman" w:hint="eastAsia"/>
          <w:sz w:val="24"/>
        </w:rPr>
        <w:t>复合化肥微调养分。</w:t>
      </w:r>
    </w:p>
    <w:p w14:paraId="56B27F2B" w14:textId="2D897ADE" w:rsidR="005659CC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配比</w:t>
      </w:r>
      <w:proofErr w:type="gramStart"/>
      <w:r w:rsidRPr="007020E0">
        <w:rPr>
          <w:rFonts w:ascii="Times New Roman" w:eastAsia="仿宋" w:hAnsi="Times New Roman" w:hint="eastAsia"/>
          <w:sz w:val="24"/>
        </w:rPr>
        <w:t>不适配需化肥</w:t>
      </w:r>
      <w:proofErr w:type="gramEnd"/>
      <w:r w:rsidRPr="007020E0">
        <w:rPr>
          <w:rFonts w:ascii="Times New Roman" w:eastAsia="仿宋" w:hAnsi="Times New Roman" w:hint="eastAsia"/>
          <w:sz w:val="24"/>
        </w:rPr>
        <w:t>调肥：校核后</w:t>
      </w:r>
      <w:r w:rsidRPr="007020E0">
        <w:rPr>
          <w:rFonts w:ascii="Times New Roman" w:eastAsia="仿宋" w:hAnsi="Times New Roman" w:hint="eastAsia"/>
          <w:sz w:val="24"/>
        </w:rPr>
        <w:t>3:2:5</w:t>
      </w:r>
      <w:r w:rsidRPr="007020E0">
        <w:rPr>
          <w:rFonts w:ascii="Times New Roman" w:eastAsia="仿宋" w:hAnsi="Times New Roman" w:hint="eastAsia"/>
          <w:sz w:val="24"/>
        </w:rPr>
        <w:t>养分比例，与</w:t>
      </w:r>
      <w:r w:rsidRPr="007020E0">
        <w:rPr>
          <w:rFonts w:ascii="Times New Roman" w:eastAsia="仿宋" w:hAnsi="Times New Roman" w:hint="eastAsia"/>
          <w:sz w:val="24"/>
        </w:rPr>
        <w:t>____</w:t>
      </w:r>
      <w:r w:rsidRPr="007020E0">
        <w:rPr>
          <w:rFonts w:ascii="Times New Roman" w:eastAsia="仿宋" w:hAnsi="Times New Roman" w:hint="eastAsia"/>
          <w:sz w:val="24"/>
        </w:rPr>
        <w:t>作物根系生长最佳养分配比（水解氮：有效磷：速效钾＝</w:t>
      </w:r>
      <w:r w:rsidRPr="007020E0">
        <w:rPr>
          <w:rFonts w:ascii="Times New Roman" w:eastAsia="仿宋" w:hAnsi="Times New Roman" w:hint="eastAsia"/>
          <w:sz w:val="24"/>
        </w:rPr>
        <w:t>4:2:6</w:t>
      </w:r>
      <w:r w:rsidRPr="007020E0">
        <w:rPr>
          <w:rFonts w:ascii="Times New Roman" w:eastAsia="仿宋" w:hAnsi="Times New Roman" w:hint="eastAsia"/>
          <w:sz w:val="24"/>
        </w:rPr>
        <w:t>）存在偏差，无法适配根系生长需求，需定向补充养</w:t>
      </w:r>
      <w:r w:rsidRPr="007020E0">
        <w:rPr>
          <w:rFonts w:ascii="Times New Roman" w:eastAsia="仿宋" w:hAnsi="Times New Roman" w:hint="eastAsia"/>
          <w:sz w:val="24"/>
        </w:rPr>
        <w:lastRenderedPageBreak/>
        <w:t>分微调配比。</w:t>
      </w:r>
      <w:proofErr w:type="gramStart"/>
      <w:r w:rsidRPr="007020E0">
        <w:rPr>
          <w:rFonts w:ascii="Times New Roman" w:eastAsia="仿宋" w:hAnsi="Times New Roman" w:hint="eastAsia"/>
          <w:sz w:val="24"/>
        </w:rPr>
        <w:t>调肥专用</w:t>
      </w:r>
      <w:proofErr w:type="gramEnd"/>
      <w:r w:rsidRPr="007020E0">
        <w:rPr>
          <w:rFonts w:ascii="Times New Roman" w:eastAsia="仿宋" w:hAnsi="Times New Roman" w:hint="eastAsia"/>
          <w:sz w:val="24"/>
        </w:rPr>
        <w:t>肥</w:t>
      </w:r>
      <w:r w:rsidR="00984F71">
        <w:rPr>
          <w:rFonts w:ascii="Times New Roman" w:eastAsia="仿宋" w:hAnsi="Times New Roman" w:hint="eastAsia"/>
          <w:sz w:val="24"/>
        </w:rPr>
        <w:t>料信息</w:t>
      </w:r>
      <w:r w:rsidRPr="007020E0">
        <w:rPr>
          <w:rFonts w:ascii="Times New Roman" w:eastAsia="仿宋" w:hAnsi="Times New Roman" w:hint="eastAsia"/>
          <w:sz w:val="24"/>
        </w:rPr>
        <w:t>如下。</w:t>
      </w:r>
      <w:r w:rsidR="00087E9C" w:rsidRPr="007020E0">
        <w:rPr>
          <w:rFonts w:ascii="Times New Roman" w:eastAsia="仿宋" w:hAnsi="Times New Roman" w:hint="eastAsia"/>
          <w:sz w:val="24"/>
        </w:rPr>
        <w:t xml:space="preserve"> </w:t>
      </w:r>
      <w:r w:rsidRPr="007020E0">
        <w:rPr>
          <w:rFonts w:ascii="Times New Roman" w:eastAsia="仿宋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28B732" wp14:editId="7F08D22D">
                <wp:simplePos x="0" y="0"/>
                <wp:positionH relativeFrom="page">
                  <wp:posOffset>889000</wp:posOffset>
                </wp:positionH>
                <wp:positionV relativeFrom="page">
                  <wp:posOffset>609600</wp:posOffset>
                </wp:positionV>
                <wp:extent cx="5753100" cy="2794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ED068" w14:textId="26B255C4" w:rsidR="005659CC" w:rsidRDefault="005659C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28B73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0pt;margin-top:48pt;width:453pt;height:2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" filled="f" stroked="f" strokeweight=".5pt">
                <v:textbox inset="0,0,0,0">
                  <w:txbxContent>
                    <w:p w14:paraId="4F0ED068" w14:textId="26B255C4" w:rsidR="005659CC" w:rsidRDefault="005659C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1860"/>
        <w:gridCol w:w="1900"/>
        <w:gridCol w:w="1780"/>
        <w:gridCol w:w="1760"/>
      </w:tblGrid>
      <w:tr w:rsidR="00087E9C" w:rsidRPr="007020E0" w14:paraId="0FEF918B" w14:textId="77777777" w:rsidTr="00F50217">
        <w:trPr>
          <w:trHeight w:val="34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D6670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B6BF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91FB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26CC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2711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087E9C" w:rsidRPr="007020E0" w14:paraId="4669EEE7" w14:textId="77777777" w:rsidTr="00F50217">
        <w:trPr>
          <w:trHeight w:val="4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F3737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6424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8621A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328C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8058F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56F5FDA1" w14:textId="77777777" w:rsidTr="00F50217">
        <w:trPr>
          <w:trHeight w:val="36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F758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EC99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8663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58A58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9275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6936F605" w14:textId="1A125263" w:rsidR="005659CC" w:rsidRPr="007020E0" w:rsidRDefault="00087E9C" w:rsidP="00984F71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b/>
          <w:color w:val="000000"/>
          <w:sz w:val="24"/>
        </w:rPr>
        <w:t>6</w:t>
      </w:r>
      <w:r w:rsidRPr="007020E0">
        <w:rPr>
          <w:rFonts w:ascii="Times New Roman" w:eastAsia="仿宋" w:hAnsi="Times New Roman" w:hint="eastAsia"/>
          <w:b/>
          <w:color w:val="000000"/>
          <w:sz w:val="24"/>
        </w:rPr>
        <w:t>、重金属污染</w:t>
      </w:r>
    </w:p>
    <w:p w14:paraId="1E003787" w14:textId="023EE71C" w:rsidR="001964C4" w:rsidRDefault="00F919AB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>
        <w:rPr>
          <w:rFonts w:ascii="Times New Roman" w:eastAsia="仿宋" w:hAnsi="Times New Roman" w:hint="eastAsia"/>
          <w:color w:val="000000"/>
          <w:sz w:val="24"/>
        </w:rPr>
        <w:t>（</w:t>
      </w:r>
      <w:r>
        <w:rPr>
          <w:rFonts w:ascii="Times New Roman" w:eastAsia="仿宋" w:hAnsi="Times New Roman" w:hint="eastAsia"/>
          <w:color w:val="000000"/>
          <w:sz w:val="24"/>
        </w:rPr>
        <w:t>1</w:t>
      </w:r>
      <w:r>
        <w:rPr>
          <w:rFonts w:ascii="Times New Roman" w:eastAsia="仿宋" w:hAnsi="Times New Roman" w:hint="eastAsia"/>
          <w:color w:val="000000"/>
          <w:sz w:val="24"/>
        </w:rPr>
        <w:t>）</w:t>
      </w:r>
      <w:r w:rsidR="00196EE7" w:rsidRPr="007020E0">
        <w:rPr>
          <w:rFonts w:ascii="Times New Roman" w:eastAsia="仿宋" w:hAnsi="Times New Roman" w:hint="eastAsia"/>
          <w:color w:val="000000"/>
          <w:sz w:val="24"/>
        </w:rPr>
        <w:t>地块土壤总镉实测值为</w:t>
      </w:r>
      <w:r w:rsidR="00196EE7"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="00196EE7" w:rsidRPr="007020E0">
        <w:rPr>
          <w:rFonts w:ascii="Times New Roman" w:eastAsia="仿宋" w:hAnsi="Times New Roman" w:hint="eastAsia"/>
          <w:color w:val="000000"/>
          <w:sz w:val="24"/>
        </w:rPr>
        <w:t>；结合作物品类特性判定：</w:t>
      </w:r>
      <w:r w:rsidR="00196EE7"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（严管控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/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高风险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/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低风险）</w:t>
      </w:r>
      <w:r w:rsidR="00E9335B">
        <w:rPr>
          <w:rFonts w:ascii="Times New Roman" w:eastAsia="仿宋" w:hAnsi="Times New Roman" w:hint="eastAsia"/>
          <w:color w:val="000000"/>
          <w:sz w:val="24"/>
        </w:rPr>
        <w:t>。</w:t>
      </w:r>
    </w:p>
    <w:p w14:paraId="6BAA9F8C" w14:textId="7A24763E" w:rsidR="00F919AB" w:rsidRDefault="00F919AB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>
        <w:rPr>
          <w:rFonts w:ascii="Times New Roman" w:eastAsia="仿宋" w:hAnsi="Times New Roman" w:hint="eastAsia"/>
          <w:color w:val="000000"/>
          <w:sz w:val="24"/>
        </w:rPr>
        <w:t>（</w:t>
      </w:r>
      <w:r>
        <w:rPr>
          <w:rFonts w:ascii="Times New Roman" w:eastAsia="仿宋" w:hAnsi="Times New Roman" w:hint="eastAsia"/>
          <w:color w:val="000000"/>
          <w:sz w:val="24"/>
        </w:rPr>
        <w:t>2</w:t>
      </w:r>
      <w:r>
        <w:rPr>
          <w:rFonts w:ascii="Times New Roman" w:eastAsia="仿宋" w:hAnsi="Times New Roman" w:hint="eastAsia"/>
          <w:color w:val="000000"/>
          <w:sz w:val="24"/>
        </w:rPr>
        <w:t>）</w:t>
      </w:r>
      <w:r w:rsidRPr="007020E0">
        <w:rPr>
          <w:rFonts w:ascii="Times New Roman" w:eastAsia="仿宋" w:hAnsi="Times New Roman" w:hint="eastAsia"/>
          <w:color w:val="000000"/>
          <w:sz w:val="24"/>
        </w:rPr>
        <w:t>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4CC10FEB" w14:textId="1ADB5723" w:rsidR="001964C4" w:rsidRDefault="001964C4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>
        <w:rPr>
          <w:rFonts w:ascii="Times New Roman" w:eastAsia="仿宋" w:hAnsi="Times New Roman" w:hint="eastAsia"/>
          <w:color w:val="000000"/>
          <w:sz w:val="24"/>
        </w:rPr>
        <w:t>低风险无需防控。</w:t>
      </w:r>
    </w:p>
    <w:p w14:paraId="7C890D15" w14:textId="4286E348" w:rsidR="005659CC" w:rsidRPr="007020E0" w:rsidRDefault="001964C4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>
        <w:rPr>
          <w:rFonts w:ascii="Times New Roman" w:eastAsia="仿宋" w:hAnsi="Times New Roman" w:hint="eastAsia"/>
          <w:color w:val="000000"/>
          <w:sz w:val="24"/>
        </w:rPr>
        <w:t>高风险和严管</w:t>
      </w:r>
      <w:proofErr w:type="gramStart"/>
      <w:r>
        <w:rPr>
          <w:rFonts w:ascii="Times New Roman" w:eastAsia="仿宋" w:hAnsi="Times New Roman" w:hint="eastAsia"/>
          <w:color w:val="000000"/>
          <w:sz w:val="24"/>
        </w:rPr>
        <w:t>控需要</w:t>
      </w:r>
      <w:proofErr w:type="gramEnd"/>
      <w:r>
        <w:rPr>
          <w:rFonts w:ascii="Times New Roman" w:eastAsia="仿宋" w:hAnsi="Times New Roman" w:hint="eastAsia"/>
          <w:color w:val="000000"/>
          <w:sz w:val="24"/>
        </w:rPr>
        <w:t>防控，</w:t>
      </w:r>
      <w:r w:rsidR="00196EE7" w:rsidRPr="007020E0">
        <w:rPr>
          <w:rFonts w:ascii="Times New Roman" w:eastAsia="仿宋" w:hAnsi="Times New Roman" w:hint="eastAsia"/>
          <w:color w:val="000000"/>
          <w:sz w:val="24"/>
        </w:rPr>
        <w:t>存在可食部位</w:t>
      </w:r>
      <w:proofErr w:type="gramStart"/>
      <w:r w:rsidR="00196EE7" w:rsidRPr="007020E0">
        <w:rPr>
          <w:rFonts w:ascii="Times New Roman" w:eastAsia="仿宋" w:hAnsi="Times New Roman" w:hint="eastAsia"/>
          <w:color w:val="000000"/>
          <w:sz w:val="24"/>
        </w:rPr>
        <w:t>镉</w:t>
      </w:r>
      <w:proofErr w:type="gramEnd"/>
      <w:r w:rsidR="00196EE7" w:rsidRPr="007020E0">
        <w:rPr>
          <w:rFonts w:ascii="Times New Roman" w:eastAsia="仿宋" w:hAnsi="Times New Roman" w:hint="eastAsia"/>
          <w:color w:val="000000"/>
          <w:sz w:val="24"/>
        </w:rPr>
        <w:t>累积超标风险，需全生育期喷施专用叶面阻控剂，阻断重金属作物转运吸收，配套阻控物资</w:t>
      </w:r>
      <w:r w:rsidR="00E9335B">
        <w:rPr>
          <w:rFonts w:ascii="Times New Roman" w:eastAsia="仿宋" w:hAnsi="Times New Roman" w:hint="eastAsia"/>
          <w:color w:val="000000"/>
          <w:sz w:val="24"/>
        </w:rPr>
        <w:t>信息</w:t>
      </w:r>
      <w:r w:rsidR="00196EE7" w:rsidRPr="007020E0">
        <w:rPr>
          <w:rFonts w:ascii="Times New Roman" w:eastAsia="仿宋" w:hAnsi="Times New Roman" w:hint="eastAsia"/>
          <w:color w:val="000000"/>
          <w:sz w:val="24"/>
        </w:rPr>
        <w:t>如下。</w:t>
      </w:r>
    </w:p>
    <w:tbl>
      <w:tblPr>
        <w:tblW w:w="0" w:type="auto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1860"/>
        <w:gridCol w:w="1900"/>
        <w:gridCol w:w="1780"/>
        <w:gridCol w:w="1760"/>
      </w:tblGrid>
      <w:tr w:rsidR="00A23914" w:rsidRPr="007020E0" w14:paraId="0672177B" w14:textId="77777777" w:rsidTr="00A23914">
        <w:trPr>
          <w:trHeight w:val="34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D4B8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5482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EBDF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B289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1A99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A23914" w:rsidRPr="007020E0" w14:paraId="35065DD3" w14:textId="77777777" w:rsidTr="00A23914">
        <w:trPr>
          <w:trHeight w:val="4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907D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2FE34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ECEDB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289B8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0960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A23914" w:rsidRPr="007020E0" w14:paraId="0F19D923" w14:textId="77777777" w:rsidTr="00A23914">
        <w:trPr>
          <w:trHeight w:val="36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A3919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D5EEE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AB0D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DC5A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F3F3C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6DABBC40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7061C75A" w14:textId="1D0F027B" w:rsidR="005659CC" w:rsidRPr="00441602" w:rsidRDefault="00087E9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 w:rsidRPr="00441602">
        <w:rPr>
          <w:rFonts w:ascii="Times New Roman" w:eastAsia="仿宋" w:hAnsi="Times New Roman" w:hint="eastAsia"/>
          <w:b/>
          <w:bCs/>
          <w:color w:val="000000"/>
          <w:sz w:val="24"/>
        </w:rPr>
        <w:t>7</w:t>
      </w:r>
      <w:r w:rsidRPr="00441602">
        <w:rPr>
          <w:rFonts w:ascii="Times New Roman" w:eastAsia="仿宋" w:hAnsi="Times New Roman" w:hint="eastAsia"/>
          <w:b/>
          <w:bCs/>
          <w:color w:val="000000"/>
          <w:sz w:val="24"/>
        </w:rPr>
        <w:t>、后续化肥使用建议</w:t>
      </w:r>
    </w:p>
    <w:p w14:paraId="7229BB4F" w14:textId="77777777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【将检测申请中得到的常规种植化肥使用量减少</w:t>
      </w:r>
      <w:r w:rsidRPr="007020E0">
        <w:rPr>
          <w:rFonts w:ascii="Times New Roman" w:eastAsia="仿宋" w:hAnsi="Times New Roman" w:hint="eastAsia"/>
          <w:color w:val="000000"/>
          <w:sz w:val="24"/>
        </w:rPr>
        <w:t>30%</w:t>
      </w:r>
      <w:r w:rsidRPr="007020E0">
        <w:rPr>
          <w:rFonts w:ascii="Times New Roman" w:eastAsia="仿宋" w:hAnsi="Times New Roman" w:hint="eastAsia"/>
          <w:color w:val="000000"/>
          <w:sz w:val="24"/>
        </w:rPr>
        <w:t>，并扣除后续养分比例调整投入的化肥量，即为后续需要使用的化肥量。】</w:t>
      </w:r>
    </w:p>
    <w:p w14:paraId="4603AA07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159EB0C7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03F07ACB" w14:textId="77777777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备注</w:t>
      </w:r>
    </w:p>
    <w:p w14:paraId="07FC2C3A" w14:textId="63F4357C" w:rsidR="005659CC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1</w:t>
      </w:r>
      <w:r w:rsidRPr="007020E0">
        <w:rPr>
          <w:rFonts w:ascii="Times New Roman" w:eastAsia="仿宋" w:hAnsi="Times New Roman" w:hint="eastAsia"/>
          <w:color w:val="000000"/>
          <w:sz w:val="24"/>
        </w:rPr>
        <w:t>、土壤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hint="eastAsia"/>
          <w:color w:val="000000"/>
          <w:sz w:val="24"/>
        </w:rPr>
        <w:t>养分调整后的比例仅适合农作物根系生长，后期种植过程中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hint="eastAsia"/>
          <w:color w:val="000000"/>
          <w:sz w:val="24"/>
        </w:rPr>
        <w:t>使用量应根据作物特性和目标产量等实际情况，用户自行确定。</w:t>
      </w:r>
      <w:r w:rsidRPr="007020E0">
        <w:rPr>
          <w:rFonts w:ascii="Times New Roman" w:eastAsia="仿宋" w:hAnsi="Times New Roman"/>
          <w:color w:val="000000"/>
          <w:sz w:val="24"/>
        </w:rPr>
        <w:br/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   2</w:t>
      </w:r>
      <w:r w:rsidRPr="007020E0">
        <w:rPr>
          <w:rFonts w:ascii="Times New Roman" w:eastAsia="仿宋" w:hAnsi="Times New Roman" w:hint="eastAsia"/>
          <w:color w:val="000000"/>
          <w:sz w:val="24"/>
        </w:rPr>
        <w:t>、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hint="eastAsia"/>
          <w:color w:val="000000"/>
          <w:sz w:val="24"/>
        </w:rPr>
        <w:t>酸碱度改良、有机肥提质、菌剂防控、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化肥调肥四项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田间作业，优先按「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改酸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→施有机肥→撒施菌剂→浅耕混匀」顺序作业，避免物资混用拮抗失效。</w:t>
      </w:r>
    </w:p>
    <w:sectPr w:rsidR="005659CC" w:rsidRPr="007020E0">
      <w:headerReference w:type="default" r:id="rId6"/>
      <w:type w:val="continuous"/>
      <w:pgSz w:w="11900" w:h="15980"/>
      <w:pgMar w:top="1560" w:right="1340" w:bottom="1560" w:left="1340" w:header="780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FB9E7" w14:textId="77777777" w:rsidR="003D3D21" w:rsidRDefault="003D3D21" w:rsidP="00087E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64F021" w14:textId="77777777" w:rsidR="003D3D21" w:rsidRDefault="003D3D21" w:rsidP="00087E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ED385" w14:textId="77777777" w:rsidR="003D3D21" w:rsidRDefault="003D3D21" w:rsidP="00087E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C1608D" w14:textId="77777777" w:rsidR="003D3D21" w:rsidRDefault="003D3D21" w:rsidP="00087E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F71D" w14:textId="7095AA4F" w:rsidR="00984F71" w:rsidRPr="00984F71" w:rsidRDefault="00984F71" w:rsidP="00984F71">
    <w:pPr>
      <w:pBdr>
        <w:bottom w:val="single" w:sz="4" w:space="1" w:color="auto"/>
      </w:pBdr>
      <w:jc w:val="center"/>
      <w:rPr>
        <w:rFonts w:ascii="仿宋" w:eastAsia="仿宋" w:hAnsi="仿宋" w:hint="eastAsia"/>
        <w:b/>
        <w:bCs/>
      </w:rPr>
    </w:pPr>
    <w:r w:rsidRPr="007020E0">
      <w:rPr>
        <w:rFonts w:ascii="仿宋" w:eastAsia="仿宋" w:hAnsi="仿宋" w:hint="eastAsia"/>
        <w:b/>
        <w:bCs/>
      </w:rPr>
      <w:t>智能AI改良报告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53BA4"/>
    <w:rsid w:val="00075C50"/>
    <w:rsid w:val="00087E9C"/>
    <w:rsid w:val="000D6051"/>
    <w:rsid w:val="00126A5A"/>
    <w:rsid w:val="001964C4"/>
    <w:rsid w:val="00196EE7"/>
    <w:rsid w:val="003D3D21"/>
    <w:rsid w:val="00410D2F"/>
    <w:rsid w:val="00441602"/>
    <w:rsid w:val="005022F1"/>
    <w:rsid w:val="005659CC"/>
    <w:rsid w:val="007020E0"/>
    <w:rsid w:val="008E13AB"/>
    <w:rsid w:val="00984F71"/>
    <w:rsid w:val="009F0BE0"/>
    <w:rsid w:val="00AF49DC"/>
    <w:rsid w:val="00BA6D97"/>
    <w:rsid w:val="00BC4D42"/>
    <w:rsid w:val="00BD0BC8"/>
    <w:rsid w:val="00E9335B"/>
    <w:rsid w:val="00F37B04"/>
    <w:rsid w:val="00F9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4FF10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7E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7E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7E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7E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Peng Li</cp:lastModifiedBy>
  <cp:revision>9</cp:revision>
  <dcterms:created xsi:type="dcterms:W3CDTF">2026-06-23T01:25:00Z</dcterms:created>
  <dcterms:modified xsi:type="dcterms:W3CDTF">2026-06-23T06:17:00Z</dcterms:modified>
</cp:coreProperties>
</file>