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0408B" w:rsidRPr="00F0408B" w:rsidRDefault="00F0408B" w:rsidP="00F0408B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0408B">
        <w:rPr>
          <w:rFonts w:ascii="宋体" w:eastAsia="宋体" w:hAnsi="宋体" w:cs="宋体"/>
          <w:b/>
          <w:bCs/>
          <w:kern w:val="36"/>
          <w:sz w:val="48"/>
          <w:szCs w:val="48"/>
        </w:rPr>
        <w:t>催收分案服务重构 V1.0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修订历史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3"/>
        <w:gridCol w:w="2485"/>
        <w:gridCol w:w="1925"/>
        <w:gridCol w:w="1941"/>
      </w:tblGrid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版本号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修改内容简述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修订人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日期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V1.0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新建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谢丽萍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2020/07/18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V1.1 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分案主体判断增加c卡特殊逻辑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谢丽萍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center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2020/07/29</w:t>
            </w:r>
          </w:p>
        </w:tc>
      </w:tr>
    </w:tbl>
    <w:p w:rsidR="00F0408B" w:rsidRPr="00F0408B" w:rsidRDefault="00F0408B" w:rsidP="00F0408B">
      <w:pPr>
        <w:widowControl/>
        <w:spacing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F0408B">
        <w:rPr>
          <w:rFonts w:ascii="宋体" w:eastAsia="宋体" w:hAnsi="宋体" w:cs="宋体"/>
          <w:b/>
          <w:bCs/>
          <w:kern w:val="36"/>
          <w:sz w:val="42"/>
          <w:szCs w:val="42"/>
        </w:rPr>
        <w:t>一、项目概述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408B">
        <w:rPr>
          <w:rFonts w:ascii="宋体" w:eastAsia="宋体" w:hAnsi="宋体" w:cs="宋体"/>
          <w:b/>
          <w:bCs/>
          <w:kern w:val="0"/>
          <w:sz w:val="36"/>
          <w:szCs w:val="36"/>
        </w:rPr>
        <w:t>1.1 需求背景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为提高催收回收率，催收事件会存在安排不同催收主体（内催团队、委外公司）进行催收的情况。而不同催收主体内部催收员的分案策略不尽相同。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随着委外系统搭建，委外公司将使用我司系统进行作业。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目前催收分案服务无催收主体的分配逻辑，无法满足委外系统的搭建需求。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408B">
        <w:rPr>
          <w:rFonts w:ascii="宋体" w:eastAsia="宋体" w:hAnsi="宋体" w:cs="宋体"/>
          <w:b/>
          <w:bCs/>
          <w:kern w:val="0"/>
          <w:sz w:val="36"/>
          <w:szCs w:val="36"/>
        </w:rPr>
        <w:t>1.2 需求目标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催收分案服务整体重构，在催收员的分案策略的基础上，增加催收主体的分配体系；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催收分案可视化，包括分案策略的可视化配置以及分案流程的可视化展示。</w:t>
      </w:r>
    </w:p>
    <w:p w:rsidR="00F0408B" w:rsidRPr="00F0408B" w:rsidRDefault="00F0408B" w:rsidP="00F0408B">
      <w:pPr>
        <w:widowControl/>
        <w:spacing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F0408B">
        <w:rPr>
          <w:rFonts w:ascii="宋体" w:eastAsia="宋体" w:hAnsi="宋体" w:cs="宋体"/>
          <w:b/>
          <w:bCs/>
          <w:kern w:val="36"/>
          <w:sz w:val="42"/>
          <w:szCs w:val="42"/>
        </w:rPr>
        <w:t>二、文档说明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408B">
        <w:rPr>
          <w:rFonts w:ascii="宋体" w:eastAsia="宋体" w:hAnsi="宋体" w:cs="宋体"/>
          <w:b/>
          <w:bCs/>
          <w:kern w:val="0"/>
          <w:sz w:val="36"/>
          <w:szCs w:val="36"/>
        </w:rPr>
        <w:t>2.1 文档读者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本文档主要面向以下读者：催收人员、策略人员，研发人员，测试人员，产品经理，以及其他与本项目相关的工作人员。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408B">
        <w:rPr>
          <w:rFonts w:ascii="宋体" w:eastAsia="宋体" w:hAnsi="宋体" w:cs="宋体"/>
          <w:b/>
          <w:bCs/>
          <w:kern w:val="0"/>
          <w:sz w:val="36"/>
          <w:szCs w:val="36"/>
        </w:rPr>
        <w:t>2.2 专业名词解释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2.2.1 催收事件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</w:rPr>
        <w:t>2.2.1.1 概念定义：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以会员维度和订单（现金贷、白条）维度生成的需进行催收的信贷逾期事件。</w:t>
      </w: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</w:rPr>
        <w:t>2.2.1.2 事件类型：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现金贷逾期事件：逾期订单类型为现金贷的逾期事件；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白条逾期事件：逾期订单类型为白条的逾期事件。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Apple Color Emoji" w:eastAsia="宋体" w:hAnsi="Apple Color Emoji" w:cs="Apple Color Emoji"/>
          <w:color w:val="262626"/>
          <w:spacing w:val="12"/>
          <w:kern w:val="0"/>
          <w:sz w:val="21"/>
          <w:szCs w:val="21"/>
        </w:rPr>
        <w:t>⚠</w: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️注意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1）原白条和现金贷事件的转换逻辑取消，同一事件下，仅存在同一类型的订单；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2）一个会员如果既出现白条逾期，又出现现金贷逾期，则生成2个催收事件。</w:t>
      </w: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 xml:space="preserve">2.2.1.3 </w:t>
      </w:r>
      <w:r w:rsidRPr="00F0408B">
        <w:rPr>
          <w:rFonts w:ascii="宋体" w:eastAsia="宋体" w:hAnsi="宋体" w:cs="宋体"/>
          <w:b/>
          <w:bCs/>
          <w:kern w:val="0"/>
        </w:rPr>
        <w:t>事件合并逻辑：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一个催收事件可对应多个逾期订单；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在当前催收事件的全部逾期订单全部还清前，若该会员新发生同一类型的订单逾期，则会合并到该催收事件下。即，一个会员会对应多个催收事件，但一个会员同一订单类型下至多只能有一个当前处理中的催收事件。</w:t>
      </w: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 xml:space="preserve">2.2.1.4 </w:t>
      </w:r>
      <w:r w:rsidRPr="00F0408B">
        <w:rPr>
          <w:rFonts w:ascii="宋体" w:eastAsia="宋体" w:hAnsi="宋体" w:cs="宋体"/>
          <w:b/>
          <w:bCs/>
          <w:kern w:val="0"/>
        </w:rPr>
        <w:t>事件信息：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增加记录分案阶段号、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分案策略版本号、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分案阶段、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催收主体、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催收团队、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用户手机号码：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（信贷账户表中当前有效的主账户创建时间最晚的记录的手机号码）、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委外状态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和委外案件编号（会更新）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lastRenderedPageBreak/>
        <w:t>信息。</w:t>
      </w: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 xml:space="preserve">2.2.1.5 </w:t>
      </w:r>
      <w:r w:rsidRPr="00F0408B">
        <w:rPr>
          <w:rFonts w:ascii="宋体" w:eastAsia="宋体" w:hAnsi="宋体" w:cs="宋体"/>
          <w:b/>
          <w:bCs/>
          <w:kern w:val="0"/>
        </w:rPr>
        <w:t>事件状态：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催收事件的催收状态增加“待确认”枚举，同时状态表如下：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8"/>
        <w:gridCol w:w="2323"/>
        <w:gridCol w:w="2345"/>
        <w:gridCol w:w="1808"/>
      </w:tblGrid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状态位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枚举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含义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备注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催收状态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待确认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初始状态，待确认催收主体，分配催收主体之前的状态</w:t>
            </w:r>
          </w:p>
        </w:tc>
        <w:tc>
          <w:tcPr>
            <w:tcW w:w="195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标识事件的分案状态以及还款状态</w:t>
            </w:r>
          </w:p>
        </w:tc>
      </w:tr>
      <w:tr w:rsidR="00F0408B" w:rsidRPr="00F0408B" w:rsidTr="00F0408B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待分配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已分配催收主体，尚未分配到催收员的状态</w:t>
            </w:r>
          </w:p>
        </w:tc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</w:tr>
      <w:tr w:rsidR="00F0408B" w:rsidRPr="00F0408B" w:rsidTr="00F0408B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待处理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已分配催收员，尚未催收完成（即尚未全部结清）</w:t>
            </w:r>
          </w:p>
        </w:tc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</w:tr>
      <w:tr w:rsidR="00F0408B" w:rsidRPr="00F0408B" w:rsidTr="00F0408B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催收完成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该催收事件下全部应还全部还清的状态</w:t>
            </w:r>
          </w:p>
        </w:tc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委外状态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未委外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该催收事件当前无委外公司在催收</w:t>
            </w:r>
          </w:p>
        </w:tc>
        <w:tc>
          <w:tcPr>
            <w:tcW w:w="195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标识事件当前是否有委外公司在催收</w:t>
            </w:r>
          </w:p>
        </w:tc>
      </w:tr>
      <w:tr w:rsidR="00F0408B" w:rsidRPr="00F0408B" w:rsidTr="00F0408B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委外中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该催收事件当前有委外公司在催收</w:t>
            </w:r>
          </w:p>
        </w:tc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</w:tr>
    </w:tbl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"https://cdn.nlark.com/yuque/0/2020/png/445230/1595075516404-4f726d85-760f-4150-bc18-6f7dc7dc2b2e.png"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19551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"https://cdn.nlark.com/yuque/0/2020/png/445230/1595075695587-9ee08dd8-7c1e-4cf8-b93a-22cadc6a1ef9.png"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20091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 xml:space="preserve">2.2.1.6 </w:t>
      </w:r>
      <w:r w:rsidRPr="00F0408B">
        <w:rPr>
          <w:rFonts w:ascii="宋体" w:eastAsia="宋体" w:hAnsi="宋体" w:cs="宋体"/>
          <w:b/>
          <w:bCs/>
          <w:kern w:val="0"/>
        </w:rPr>
        <w:t>事件阶段：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事件阶段是依据业内通用标准，对催收事件的逾期阶段进行划分的标准；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该事件阶段为固定阶段，如无意外情况不会发生调整；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催收事件阶段划分和更新逻辑进行改造。阶段和逾期时间的对应表如下：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0"/>
        <w:gridCol w:w="2520"/>
      </w:tblGrid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9E9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逾期时间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9E9E9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事件阶段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1-30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M1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31-60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M2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61-90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M3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91-120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M4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121-150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M5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151-180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M6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181-210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M7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211-240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M8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241-270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M9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271-300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M10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301-330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M11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331-360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M12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361+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M13</w:t>
            </w:r>
          </w:p>
        </w:tc>
      </w:tr>
    </w:tbl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>2.2.1.7 分案</w:t>
      </w:r>
      <w:r w:rsidRPr="00F0408B">
        <w:rPr>
          <w:rFonts w:ascii="宋体" w:eastAsia="宋体" w:hAnsi="宋体" w:cs="宋体"/>
          <w:b/>
          <w:bCs/>
          <w:kern w:val="0"/>
        </w:rPr>
        <w:t>阶段：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分案阶段是在催收主体分案、内催员分案时根据逾期时间进行划分的逾期时间分类；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该分案阶段需做成配置化功能，根据业务发展需要会不定时调整分案阶段的定义。</w:t>
      </w: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2.2.2 委外案件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</w:rPr>
        <w:t>2.2.2.1 概念定义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以催收事件维度生成的委托委外公司进行催收的逾期案件。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>2.2.2.2 案件合并逻辑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br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委外案件的逾期订单等于生成该委外案件时催收事件的逾期订单，后续若该催收事件新增逾期订单也不影响委外案件的逾期订单数量。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催收事件可进行多次委外，每一次委外都会生成一个委外案件；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即，一个委外案件仅对应一个催收事件，但一个催收事件可对应多个委外案件；且一个催收事件至多只能有一个当前委外中的委外案件。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>2.2.2.3 案件信息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br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委外案件需记录生成时的催收事件号、委外时催收分案阶段、当前催收分案阶段、委外期限、委外时事件阶段、当前事件阶段、分案策略号、分案策略版本号、委外时逾期总金额、当前委外案件逾期总金额、催收事件逾期订单号、委外公司、分配时间、委外状态，后续每天根据催收状态、委外状态判断更新逻辑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lastRenderedPageBreak/>
        <w:br/>
      </w: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>2.2.2.4 案件状态</w:t>
      </w: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br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8"/>
        <w:gridCol w:w="2323"/>
        <w:gridCol w:w="2345"/>
        <w:gridCol w:w="1808"/>
      </w:tblGrid>
      <w:tr w:rsidR="00F0408B" w:rsidRPr="00F0408B" w:rsidTr="00F0408B">
        <w:trPr>
          <w:trHeight w:val="495"/>
        </w:trPr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状态位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枚举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含义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备注</w:t>
            </w:r>
          </w:p>
        </w:tc>
      </w:tr>
      <w:tr w:rsidR="00F0408B" w:rsidRPr="00F0408B" w:rsidTr="00F0408B">
        <w:trPr>
          <w:trHeight w:val="495"/>
        </w:trPr>
        <w:tc>
          <w:tcPr>
            <w:tcW w:w="195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委外状态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委外中</w:t>
            </w: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委外公司正常受理，且该委外案件的逾期订单尚未全部还清的状态</w:t>
            </w:r>
          </w:p>
        </w:tc>
        <w:tc>
          <w:tcPr>
            <w:tcW w:w="195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标识委外案件的委托状态以及还款状态</w:t>
            </w:r>
          </w:p>
        </w:tc>
      </w:tr>
      <w:tr w:rsidR="00F0408B" w:rsidRPr="00F0408B" w:rsidTr="00F0408B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取消委外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委外案件从委外公司撤回，不再由委外公司受理的状态。该状态不可逆。</w:t>
            </w:r>
          </w:p>
        </w:tc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</w:tr>
      <w:tr w:rsidR="00F0408B" w:rsidRPr="00F0408B" w:rsidTr="00F0408B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  <w:tc>
          <w:tcPr>
            <w:tcW w:w="19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委外完成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F0408B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在委外公司正式受理期间，该委外案件的全部逾期订单全部还清后的状态。该状态不可逆。</w:t>
            </w:r>
          </w:p>
        </w:tc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F0408B" w:rsidRPr="00F0408B" w:rsidRDefault="00F0408B" w:rsidP="00F0408B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</w:p>
        </w:tc>
      </w:tr>
    </w:tbl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取消委外和委外完成都标识该委外案件已完成，如果催收事件再次委外，即使分配给同一委外公司，也需新生成一笔委外案件。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"https://cdn.nlark.com/yuque/0/2020/png/445230/1595076531623-826481bc-cd73-49d5-961e-83a7b2eb0331.png"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2248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2.2.3 催收主体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</w:rPr>
        <w:t>2.2.3.1 概念定义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即催收团队，一个催收团队可配置多个催收员并配置不同的分案策略。一家委外公司即一个催收主体，内催团队也为一个催收主体。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2.2.4 催收员队列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>2.2.4.1 概念定义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br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仅对内催团队使用，即催收员分组。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内部催收员在人员管理时，将内催员按照队列进行分组，即催收员挂在特定的催收队列内。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  <w:sz w:val="23"/>
          <w:szCs w:val="23"/>
        </w:rPr>
        <w:t>2.2.4.2 催收员队列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br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催收员队列枚举为：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现金贷：C1\C2\C3\C4\CS1\C-ZDWH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t>白条：B1\B2\B3\B4\BS1\B-ZDWH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3"/>
          <w:szCs w:val="23"/>
        </w:rPr>
        <w:lastRenderedPageBreak/>
        <w:br/>
      </w: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2.2.5 催收分案策略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</w:rPr>
        <w:t>2.2.5.1 概念定义：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催收分案策略为催收主体分配、内催的案件分配的最主要分配依据。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</w:rPr>
      </w:pPr>
      <w:r w:rsidRPr="00F0408B">
        <w:rPr>
          <w:rFonts w:ascii="宋体" w:eastAsia="宋体" w:hAnsi="宋体" w:cs="宋体"/>
          <w:b/>
          <w:bCs/>
          <w:kern w:val="0"/>
        </w:rPr>
        <w:t>2.2.5.2 层级概念：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催收分案策略分为2级：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1级为分案策略：定义分案阶段划分；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2级为分案策略版本：定义催收主体分配规则和内催分案规则。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1级分案策略下可配置2级策略版本，只能新增不能修改，默认使用当前最大版本号的分案策略版本。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*该概念类似RDM策略定义和策略文件版本的层级模式。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F0408B">
        <w:rPr>
          <w:rFonts w:ascii="宋体" w:eastAsia="宋体" w:hAnsi="宋体" w:cs="宋体"/>
          <w:b/>
          <w:bCs/>
          <w:kern w:val="36"/>
          <w:sz w:val="42"/>
          <w:szCs w:val="42"/>
        </w:rPr>
        <w:t>三、需求概述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408B">
        <w:rPr>
          <w:rFonts w:ascii="宋体" w:eastAsia="宋体" w:hAnsi="宋体" w:cs="宋体"/>
          <w:b/>
          <w:bCs/>
          <w:kern w:val="0"/>
          <w:sz w:val="36"/>
          <w:szCs w:val="36"/>
        </w:rPr>
        <w:t>3.1 催收业务逻辑架构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"https://cdn.nlark.com/yuque/0/2020/png/445230/1595420159141-31fac76d-c164-4e2b-aada-e1f7348b2eca.png?x-oss-process=image%2Fresize%2Cw_1500"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22567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预览地址：</w:t>
      </w:r>
      <w:hyperlink r:id="rId8" w:tgtFrame="_blank" w:history="1">
        <w:r w:rsidRPr="00F0408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https://www.processon.com/view/link/5f182db1637689168e2d181e</w:t>
        </w:r>
      </w:hyperlink>
    </w:p>
    <w:p w:rsidR="00F0408B" w:rsidRPr="00F0408B" w:rsidRDefault="00F0408B" w:rsidP="00F0408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408B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3.2 催收事件业务周期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"https://cdn.nlark.com/yuque/0/2020/png/445230/1595210787280-4207a424-061f-4a4a-9bde-9431def1c6ea.png?x-oss-process=image%2Fresize%2Cw_1500"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53168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预览地址：</w:t>
      </w:r>
      <w:hyperlink r:id="rId10" w:tgtFrame="_blank" w:history="1">
        <w:r w:rsidRPr="00F0408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https://www.processon.com/view/link/5f10048c07912906d9a7013f</w:t>
        </w:r>
      </w:hyperlink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408B">
        <w:rPr>
          <w:rFonts w:ascii="宋体" w:eastAsia="宋体" w:hAnsi="宋体" w:cs="宋体"/>
          <w:b/>
          <w:bCs/>
          <w:kern w:val="0"/>
          <w:sz w:val="36"/>
          <w:szCs w:val="36"/>
        </w:rPr>
        <w:t>3.3 需求概览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"https://cdn.nlark.com/yuque/0/2020/png/445230/1596022626938-3aa7c3fb-ea52-4dce-ab16-65d52fc8062f.png"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18472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预览地址：</w:t>
      </w:r>
      <w:hyperlink r:id="rId12" w:tgtFrame="_blank" w:history="1">
        <w:r w:rsidRPr="00F0408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https://www.processon.com/view/link/5f181bf40791291b995f8bf5</w:t>
        </w:r>
      </w:hyperlink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F0408B">
        <w:rPr>
          <w:rFonts w:ascii="宋体" w:eastAsia="宋体" w:hAnsi="宋体" w:cs="宋体"/>
          <w:b/>
          <w:bCs/>
          <w:kern w:val="36"/>
          <w:sz w:val="42"/>
          <w:szCs w:val="42"/>
        </w:rPr>
        <w:t>四、需求详述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408B">
        <w:rPr>
          <w:rFonts w:ascii="宋体" w:eastAsia="宋体" w:hAnsi="宋体" w:cs="宋体"/>
          <w:b/>
          <w:bCs/>
          <w:kern w:val="0"/>
          <w:sz w:val="36"/>
          <w:szCs w:val="36"/>
        </w:rPr>
        <w:t>4.1 后端需求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4.1.1 业务主流程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"https://cdn.nlark.com/yuque/0/2020/png/445230/1595415628413-723696c5-16b6-4bf0-8e49-ad65595a04e4.png"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25425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4.1.2 事件信息更新流程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"https://cdn.nlark.com/yuque/0/2020/png/445230/1595420425625-dbd0cbaa-5e49-4a09-a86b-318266c49611.png?x-oss-process=image%2Fresize%2Cw_1500"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3280410" cy="886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预览地址：</w:t>
      </w:r>
      <w:hyperlink r:id="rId15" w:tgtFrame="_blank" w:history="1">
        <w:r w:rsidRPr="00F0408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https://www.processon.com/view/link/5f13aa2be401fd06f3e20e96</w:t>
        </w:r>
      </w:hyperlink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4.1.3 催收主体分配判断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"https://cdn.nlark.com/yuque/0/2020/png/445230/1596022752464-269b6cb5-9b2b-44a4-8f36-2bc8c29479e1.png?x-oss-process=image%2Fresize%2Cw_1500"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56724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预览地址：</w:t>
      </w:r>
      <w:hyperlink r:id="rId17" w:tgtFrame="_blank" w:history="1">
        <w:r w:rsidRPr="00F0408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https://www.processon.com/view/link/5f13b9e21e08537d50b2d8ee</w:t>
        </w:r>
      </w:hyperlink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4.1.4 催收主体分案策略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"https://cdn.nlark.com/yuque/0/2020/png/445230/1595420570186-e72da6cc-5929-48a5-bd46-7d3557291642.png?x-oss-process=image%2Fresize%2Cw_1500"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2379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预览地址：</w:t>
      </w:r>
      <w:hyperlink r:id="rId19" w:tgtFrame="_blank" w:history="1">
        <w:r w:rsidRPr="00F0408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https://www.processon.com/view/link/5f1660f7e401fd181acd4447</w:t>
        </w:r>
      </w:hyperlink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4.1.5 催收员分案判断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"https://cdn.nlark.com/yuque/0/2020/png/445230/1595420723220-3d60e01d-45e4-48a9-820a-1ef502c931c3.png?x-oss-process=image%2Fresize%2Cw_1500"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40493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预览地址：</w:t>
      </w:r>
      <w:hyperlink r:id="rId21" w:tgtFrame="_blank" w:history="1">
        <w:r w:rsidRPr="00F0408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https://www.processon.com/view/link/5f13bc0ce0b34d44f051bcb3</w:t>
        </w:r>
      </w:hyperlink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F0408B">
        <w:rPr>
          <w:rFonts w:ascii="宋体" w:eastAsia="宋体" w:hAnsi="宋体" w:cs="宋体"/>
          <w:b/>
          <w:bCs/>
          <w:kern w:val="0"/>
          <w:sz w:val="30"/>
          <w:szCs w:val="30"/>
        </w:rPr>
        <w:t>4.1.6 催收员分案策略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"https://cdn.nlark.com/yuque/0/2020/png/445230/1595420891478-9e617ddc-3eca-400c-aae5-ef879bfe2ed3.png?x-oss-process=image%2Fresize%2Cw_1500" \* MERGEFORMATINET </w:instrText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F0408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004435" cy="8864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t>预览地址：</w:t>
      </w:r>
      <w:hyperlink r:id="rId23" w:tgtFrame="_blank" w:history="1">
        <w:r w:rsidRPr="00F0408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https://www.processon.com/view/link/5f13cb7c6376895d7fb806e0</w:t>
        </w:r>
      </w:hyperlink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0408B">
        <w:rPr>
          <w:rFonts w:ascii="宋体" w:eastAsia="宋体" w:hAnsi="宋体" w:cs="宋体"/>
          <w:b/>
          <w:bCs/>
          <w:kern w:val="0"/>
          <w:sz w:val="36"/>
          <w:szCs w:val="36"/>
        </w:rPr>
        <w:t>4.2 前端需求</w:t>
      </w: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F0408B" w:rsidRPr="00F0408B" w:rsidRDefault="00F0408B" w:rsidP="00F0408B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F0408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见RP</w:t>
      </w:r>
    </w:p>
    <w:p w:rsidR="003462FC" w:rsidRPr="00F0408B" w:rsidRDefault="00F0408B" w:rsidP="00F0408B"/>
    <w:sectPr w:rsidR="003462FC" w:rsidRPr="00F0408B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106AA1"/>
    <w:rsid w:val="00480340"/>
    <w:rsid w:val="00687B32"/>
    <w:rsid w:val="00D65C62"/>
    <w:rsid w:val="00F0408B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0408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0408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0408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F0408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408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0408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0408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F0408B"/>
    <w:rPr>
      <w:rFonts w:ascii="宋体" w:eastAsia="宋体" w:hAnsi="宋体" w:cs="宋体"/>
      <w:b/>
      <w:bCs/>
      <w:kern w:val="0"/>
    </w:rPr>
  </w:style>
  <w:style w:type="paragraph" w:styleId="a3">
    <w:name w:val="Normal (Web)"/>
    <w:basedOn w:val="a"/>
    <w:uiPriority w:val="99"/>
    <w:semiHidden/>
    <w:unhideWhenUsed/>
    <w:rsid w:val="00F04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lake-fontsize-1515">
    <w:name w:val="lake-fontsize-1515"/>
    <w:basedOn w:val="a0"/>
    <w:rsid w:val="00F0408B"/>
  </w:style>
  <w:style w:type="character" w:styleId="a4">
    <w:name w:val="Hyperlink"/>
    <w:basedOn w:val="a0"/>
    <w:uiPriority w:val="99"/>
    <w:semiHidden/>
    <w:unhideWhenUsed/>
    <w:rsid w:val="00F040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3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7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25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305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91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05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ocesson.com/view/link/5f182db1637689168e2d181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yperlink" Target="https://www.processon.com/view/link/5f13bc0ce0b34d44f051bcb3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processon.com/view/link/5f181bf40791291b995f8bf5" TargetMode="External"/><Relationship Id="rId17" Type="http://schemas.openxmlformats.org/officeDocument/2006/relationships/hyperlink" Target="https://www.processon.com/view/link/5f13b9e21e08537d50b2d8ee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www.processon.com/view/link/5f13aa2be401fd06f3e20e96" TargetMode="External"/><Relationship Id="rId23" Type="http://schemas.openxmlformats.org/officeDocument/2006/relationships/hyperlink" Target="https://www.processon.com/view/link/5f13cb7c6376895d7fb806e0" TargetMode="External"/><Relationship Id="rId10" Type="http://schemas.openxmlformats.org/officeDocument/2006/relationships/hyperlink" Target="https://www.processon.com/view/link/5f10048c07912906d9a7013f" TargetMode="External"/><Relationship Id="rId19" Type="http://schemas.openxmlformats.org/officeDocument/2006/relationships/hyperlink" Target="https://www.processon.com/view/link/5f1660f7e401fd181acd444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888</Words>
  <Characters>5062</Characters>
  <Application>Microsoft Office Word</Application>
  <DocSecurity>0</DocSecurity>
  <Lines>42</Lines>
  <Paragraphs>11</Paragraphs>
  <ScaleCrop>false</ScaleCrop>
  <Manager/>
  <Company/>
  <LinksUpToDate>false</LinksUpToDate>
  <CharactersWithSpaces>5939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2020-07-29T11:47:00Z</dcterms:modified>
  <cp:category/>
</cp:coreProperties>
</file>