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312" w:beforeLines="100" w:after="468" w:afterLines="150" w:line="480" w:lineRule="auto"/>
        <w:jc w:val="center"/>
        <w:rPr>
          <w:rFonts w:hint="eastAsia" w:ascii="黑体" w:hAnsi="宋体" w:eastAsia="黑体"/>
          <w:b/>
          <w:sz w:val="52"/>
          <w:szCs w:val="52"/>
        </w:rPr>
      </w:pPr>
      <w:r>
        <w:rPr>
          <w:rFonts w:hint="eastAsia"/>
          <w:b/>
          <w:sz w:val="52"/>
          <w:szCs w:val="52"/>
          <w:lang/>
        </w:rPr>
        <w:t>深圳市中浦信实业有限公司</w:t>
      </w:r>
    </w:p>
    <w:p>
      <w:pPr>
        <w:spacing w:before="312" w:beforeLines="100" w:after="468" w:afterLines="150" w:line="480" w:lineRule="auto"/>
        <w:jc w:val="center"/>
        <w:rPr>
          <w:rFonts w:ascii="黑体" w:hAnsi="宋体" w:eastAsia="黑体"/>
          <w:b/>
          <w:sz w:val="32"/>
          <w:szCs w:val="32"/>
        </w:rPr>
      </w:pPr>
      <w:r>
        <w:rPr>
          <w:rFonts w:hint="eastAsia" w:ascii="黑体" w:hAnsi="宋体" w:eastAsia="黑体"/>
          <w:b/>
          <w:sz w:val="32"/>
          <w:szCs w:val="32"/>
        </w:rPr>
        <w:t>项目经营承包合同</w:t>
      </w:r>
    </w:p>
    <w:p>
      <w:pPr>
        <w:spacing w:line="480" w:lineRule="auto"/>
        <w:rPr>
          <w:rFonts w:ascii="楷体_GB2312" w:hAnsi="宋体" w:eastAsia="楷体_GB2312" w:cs="宋体"/>
          <w:b/>
          <w:kern w:val="0"/>
          <w:sz w:val="24"/>
          <w:u w:val="single"/>
        </w:rPr>
      </w:pPr>
      <w:r>
        <w:rPr>
          <w:rFonts w:hint="eastAsia" w:ascii="楷体_GB2312" w:hAnsi="宋体" w:eastAsia="楷体_GB2312" w:cs="宋体"/>
          <w:b/>
          <w:color w:val="000000"/>
          <w:kern w:val="0"/>
          <w:sz w:val="24"/>
        </w:rPr>
        <w:t>甲方（发包方）：</w:t>
      </w:r>
      <w:r>
        <w:rPr>
          <w:rFonts w:hint="eastAsia" w:ascii="楷体_GB2312" w:hAnsi="宋体" w:eastAsia="楷体_GB2312" w:cs="宋体"/>
          <w:b/>
          <w:color w:val="000000"/>
          <w:spacing w:val="-8"/>
          <w:kern w:val="0"/>
          <w:sz w:val="24"/>
          <w:szCs w:val="24"/>
          <w:u w:val="single"/>
        </w:rPr>
        <w:t>深圳市中浦信实业有限公司</w:t>
      </w:r>
    </w:p>
    <w:p>
      <w:pPr>
        <w:spacing w:line="480" w:lineRule="auto"/>
        <w:rPr>
          <w:rFonts w:ascii="楷体_GB2312" w:hAnsi="宋体" w:eastAsia="楷体_GB2312" w:cs="宋体"/>
          <w:b/>
          <w:kern w:val="0"/>
          <w:sz w:val="24"/>
          <w:u w:val="single"/>
        </w:rPr>
      </w:pPr>
      <w:r>
        <w:rPr>
          <w:rFonts w:hint="eastAsia" w:ascii="楷体_GB2312" w:hAnsi="宋体" w:eastAsia="楷体_GB2312" w:cs="宋体"/>
          <w:b/>
          <w:kern w:val="0"/>
          <w:sz w:val="24"/>
        </w:rPr>
        <w:t xml:space="preserve">          地址：</w:t>
      </w:r>
      <w:r>
        <w:rPr>
          <w:rFonts w:hint="eastAsia" w:ascii="楷体_GB2312" w:hAnsi="宋体" w:eastAsia="楷体_GB2312" w:cs="宋体"/>
          <w:b/>
          <w:spacing w:val="-8"/>
          <w:kern w:val="0"/>
          <w:sz w:val="24"/>
          <w:szCs w:val="24"/>
          <w:u w:val="single"/>
        </w:rPr>
        <w:t xml:space="preserve">深圳市龙岗区龙岗街道南联社区碧新路2141号401  </w:t>
      </w:r>
    </w:p>
    <w:p>
      <w:pPr>
        <w:spacing w:line="480" w:lineRule="auto"/>
        <w:rPr>
          <w:rFonts w:ascii="楷体_GB2312" w:hAnsi="宋体" w:eastAsia="楷体_GB2312" w:cs="宋体"/>
          <w:b/>
          <w:color w:val="000000"/>
          <w:kern w:val="0"/>
          <w:sz w:val="24"/>
          <w:u w:val="single"/>
        </w:rPr>
      </w:pPr>
      <w:r>
        <w:rPr>
          <w:rFonts w:hint="eastAsia" w:ascii="楷体_GB2312" w:hAnsi="宋体" w:eastAsia="楷体_GB2312" w:cs="宋体"/>
          <w:b/>
          <w:color w:val="000000"/>
          <w:kern w:val="0"/>
          <w:sz w:val="24"/>
        </w:rPr>
        <w:t xml:space="preserve">          电话：</w:t>
      </w:r>
      <w:r>
        <w:rPr>
          <w:rFonts w:hint="eastAsia" w:ascii="楷体_GB2312" w:hAnsi="宋体" w:eastAsia="楷体_GB2312" w:cs="宋体"/>
          <w:b/>
          <w:color w:val="000000"/>
          <w:kern w:val="0"/>
          <w:sz w:val="24"/>
          <w:u w:val="single"/>
        </w:rPr>
        <w:t xml:space="preserve">0755-28961233     </w:t>
      </w:r>
      <w:r>
        <w:rPr>
          <w:rFonts w:hint="eastAsia" w:ascii="楷体_GB2312" w:hAnsi="宋体" w:eastAsia="楷体_GB2312" w:cs="宋体"/>
          <w:b/>
          <w:color w:val="000000"/>
          <w:kern w:val="0"/>
          <w:sz w:val="24"/>
        </w:rPr>
        <w:t>传真：</w:t>
      </w:r>
      <w:r>
        <w:rPr>
          <w:rFonts w:hint="eastAsia" w:ascii="楷体_GB2312" w:hAnsi="宋体" w:eastAsia="楷体_GB2312" w:cs="宋体"/>
          <w:b/>
          <w:color w:val="000000"/>
          <w:kern w:val="0"/>
          <w:sz w:val="24"/>
          <w:u w:val="single"/>
        </w:rPr>
        <w:t xml:space="preserve">  0755-28961233</w:t>
      </w:r>
    </w:p>
    <w:p>
      <w:pPr>
        <w:spacing w:line="480" w:lineRule="auto"/>
        <w:rPr>
          <w:rFonts w:hint="eastAsia" w:ascii="楷体_GB2312" w:hAnsi="宋体" w:eastAsia="楷体_GB2312" w:cs="宋体"/>
          <w:b/>
          <w:color w:val="000000"/>
          <w:kern w:val="0"/>
          <w:sz w:val="24"/>
        </w:rPr>
      </w:pPr>
      <w:r>
        <w:rPr>
          <w:rFonts w:hint="eastAsia" w:ascii="楷体_GB2312" w:hAnsi="宋体" w:eastAsia="楷体_GB2312" w:cs="宋体"/>
          <w:b/>
          <w:color w:val="000000"/>
          <w:kern w:val="0"/>
          <w:sz w:val="24"/>
        </w:rPr>
        <w:t>乙方（承包方）：</w:t>
      </w:r>
      <w:r>
        <w:rPr>
          <w:rFonts w:hint="eastAsia" w:ascii="楷体_GB2312" w:hAnsi="宋体" w:eastAsia="楷体_GB2312" w:cs="宋体"/>
          <w:b/>
          <w:color w:val="000000"/>
          <w:kern w:val="0"/>
          <w:sz w:val="24"/>
          <w:u w:val="single"/>
        </w:rPr>
        <w:t xml:space="preserve">  </w:t>
      </w:r>
      <w:r>
        <w:rPr>
          <w:rFonts w:ascii="楷体_GB2312" w:hAnsi="宋体" w:eastAsia="楷体_GB2312" w:cs="宋体"/>
          <w:b/>
          <w:color w:val="000000"/>
          <w:kern w:val="0"/>
          <w:sz w:val="24"/>
          <w:u w:val="single"/>
        </w:rPr>
        <w:t xml:space="preserve">     </w:t>
      </w:r>
      <w:r>
        <w:rPr>
          <w:rFonts w:hint="eastAsia" w:ascii="楷体_GB2312" w:hAnsi="宋体" w:eastAsia="楷体_GB2312" w:cs="宋体"/>
          <w:b/>
          <w:color w:val="000000"/>
          <w:kern w:val="0"/>
          <w:sz w:val="24"/>
          <w:u w:val="single"/>
        </w:rPr>
        <w:t xml:space="preserve"> </w:t>
      </w:r>
      <w:r>
        <w:rPr>
          <w:rFonts w:hint="eastAsia" w:ascii="楷体_GB2312" w:hAnsi="宋体" w:eastAsia="楷体_GB2312" w:cs="宋体"/>
          <w:b/>
          <w:color w:val="000000"/>
          <w:spacing w:val="-16"/>
          <w:kern w:val="0"/>
          <w:sz w:val="24"/>
          <w:szCs w:val="24"/>
          <w:u w:val="single"/>
        </w:rPr>
        <w:t>（  身份证号码：</w:t>
      </w:r>
      <w:r>
        <w:rPr>
          <w:rFonts w:ascii="楷体_GB2312" w:hAnsi="宋体" w:eastAsia="楷体_GB2312" w:cs="宋体"/>
          <w:b/>
          <w:color w:val="000000"/>
          <w:spacing w:val="-16"/>
          <w:kern w:val="0"/>
          <w:sz w:val="24"/>
          <w:szCs w:val="24"/>
          <w:u w:val="single"/>
        </w:rPr>
        <w:t xml:space="preserve">                    </w:t>
      </w:r>
      <w:r>
        <w:rPr>
          <w:rFonts w:hint="eastAsia" w:ascii="楷体_GB2312" w:hAnsi="宋体" w:eastAsia="楷体_GB2312" w:cs="宋体"/>
          <w:b/>
          <w:color w:val="000000"/>
          <w:spacing w:val="-16"/>
          <w:kern w:val="0"/>
          <w:sz w:val="24"/>
          <w:szCs w:val="24"/>
          <w:u w:val="single"/>
        </w:rPr>
        <w:t>）</w:t>
      </w:r>
      <w:r>
        <w:rPr>
          <w:rFonts w:hint="eastAsia" w:ascii="楷体_GB2312" w:hAnsi="宋体" w:eastAsia="楷体_GB2312" w:cs="宋体"/>
          <w:b/>
          <w:color w:val="000000"/>
          <w:spacing w:val="-8"/>
          <w:kern w:val="0"/>
          <w:sz w:val="24"/>
          <w:szCs w:val="24"/>
        </w:rPr>
        <w:t>手机号码：</w:t>
      </w:r>
      <w:r>
        <w:rPr>
          <w:rFonts w:hint="eastAsia" w:ascii="楷体_GB2312" w:hAnsi="宋体" w:eastAsia="楷体_GB2312" w:cs="宋体"/>
          <w:b/>
          <w:color w:val="000000"/>
          <w:kern w:val="0"/>
          <w:sz w:val="24"/>
          <w:u w:val="single"/>
        </w:rPr>
        <w:t xml:space="preserve"> </w:t>
      </w:r>
      <w:r>
        <w:rPr>
          <w:rFonts w:ascii="楷体_GB2312" w:hAnsi="宋体" w:eastAsia="楷体_GB2312" w:cs="宋体"/>
          <w:b/>
          <w:color w:val="000000"/>
          <w:kern w:val="0"/>
          <w:sz w:val="24"/>
          <w:u w:val="single"/>
        </w:rPr>
        <w:t xml:space="preserve">                </w:t>
      </w:r>
      <w:r>
        <w:rPr>
          <w:rFonts w:hint="eastAsia" w:ascii="楷体_GB2312" w:hAnsi="宋体" w:eastAsia="楷体_GB2312" w:cs="宋体"/>
          <w:b/>
          <w:color w:val="000000"/>
          <w:kern w:val="0"/>
          <w:sz w:val="24"/>
          <w:u w:val="single"/>
        </w:rPr>
        <w:t xml:space="preserve">  </w:t>
      </w:r>
    </w:p>
    <w:p>
      <w:pPr>
        <w:spacing w:line="480" w:lineRule="auto"/>
        <w:ind w:firstLine="1161" w:firstLineChars="482"/>
        <w:rPr>
          <w:rFonts w:ascii="楷体_GB2312" w:hAnsi="宋体" w:eastAsia="楷体_GB2312" w:cs="宋体"/>
          <w:b/>
          <w:color w:val="000000"/>
          <w:kern w:val="0"/>
          <w:sz w:val="24"/>
          <w:u w:val="single"/>
        </w:rPr>
      </w:pPr>
      <w:r>
        <w:rPr>
          <w:rFonts w:hint="eastAsia" w:ascii="楷体_GB2312" w:hAnsi="宋体" w:eastAsia="楷体_GB2312" w:cs="宋体"/>
          <w:b/>
          <w:color w:val="000000"/>
          <w:kern w:val="0"/>
          <w:sz w:val="24"/>
        </w:rPr>
        <w:t xml:space="preserve"> 地址：</w:t>
      </w:r>
      <w:r>
        <w:rPr>
          <w:rFonts w:hint="eastAsia" w:ascii="楷体_GB2312" w:hAnsi="宋体" w:eastAsia="楷体_GB2312" w:cs="宋体"/>
          <w:b/>
          <w:color w:val="000000"/>
          <w:kern w:val="0"/>
          <w:sz w:val="24"/>
          <w:u w:val="single"/>
        </w:rPr>
        <w:t xml:space="preserve">  </w:t>
      </w:r>
      <w:r>
        <w:rPr>
          <w:rFonts w:ascii="楷体_GB2312" w:hAnsi="宋体" w:eastAsia="楷体_GB2312" w:cs="宋体"/>
          <w:b/>
          <w:color w:val="000000"/>
          <w:kern w:val="0"/>
          <w:sz w:val="24"/>
          <w:u w:val="single"/>
        </w:rPr>
        <w:t xml:space="preserve">                         </w:t>
      </w:r>
      <w:r>
        <w:rPr>
          <w:rFonts w:hint="eastAsia" w:ascii="楷体_GB2312" w:hAnsi="宋体" w:eastAsia="楷体_GB2312" w:cs="宋体"/>
          <w:b/>
          <w:color w:val="000000"/>
          <w:kern w:val="0"/>
          <w:sz w:val="24"/>
          <w:u w:val="single"/>
        </w:rPr>
        <w:t xml:space="preserve"> </w:t>
      </w:r>
      <w:r>
        <w:rPr>
          <w:rFonts w:hint="eastAsia" w:ascii="楷体_GB2312" w:hAnsi="宋体" w:eastAsia="楷体_GB2312" w:cs="宋体"/>
          <w:b/>
          <w:color w:val="000000"/>
          <w:kern w:val="0"/>
          <w:sz w:val="24"/>
        </w:rPr>
        <w:t xml:space="preserve">  </w:t>
      </w:r>
    </w:p>
    <w:p>
      <w:pPr>
        <w:widowControl/>
        <w:ind w:firstLine="240" w:firstLineChars="100"/>
        <w:jc w:val="left"/>
        <w:rPr>
          <w:rFonts w:ascii="楷体_GB2312" w:hAnsi="宋体" w:eastAsia="楷体_GB2312"/>
          <w:b/>
          <w:kern w:val="1"/>
          <w:sz w:val="24"/>
          <w:u w:val="single"/>
        </w:rPr>
      </w:pPr>
      <w:r>
        <w:rPr>
          <w:rFonts w:hint="eastAsia" w:ascii="楷体_GB2312" w:hAnsi="宋体" w:eastAsia="楷体_GB2312"/>
          <w:kern w:val="1"/>
          <w:sz w:val="24"/>
          <w:lang w:eastAsia="ar-SA"/>
        </w:rPr>
        <w:t>为了加强工程施工管理</w:t>
      </w:r>
      <w:r>
        <w:rPr>
          <w:rFonts w:hint="eastAsia" w:ascii="楷体_GB2312" w:hAnsi="宋体" w:eastAsia="楷体_GB2312"/>
          <w:kern w:val="1"/>
          <w:sz w:val="24"/>
        </w:rPr>
        <w:t>，</w:t>
      </w:r>
      <w:r>
        <w:rPr>
          <w:rFonts w:hint="eastAsia" w:ascii="楷体_GB2312" w:hAnsi="宋体" w:eastAsia="楷体_GB2312"/>
          <w:kern w:val="1"/>
          <w:sz w:val="24"/>
          <w:lang w:eastAsia="ar-SA"/>
        </w:rPr>
        <w:t>明确甲乙双方的权利和</w:t>
      </w:r>
      <w:r>
        <w:rPr>
          <w:rFonts w:hint="eastAsia" w:ascii="楷体_GB2312" w:hAnsi="宋体" w:eastAsia="楷体_GB2312"/>
          <w:kern w:val="1"/>
          <w:sz w:val="24"/>
        </w:rPr>
        <w:t>义务</w:t>
      </w:r>
      <w:r>
        <w:rPr>
          <w:rFonts w:hint="eastAsia" w:ascii="楷体_GB2312" w:hAnsi="宋体" w:eastAsia="楷体_GB2312"/>
          <w:kern w:val="1"/>
          <w:sz w:val="24"/>
          <w:lang w:eastAsia="ar-SA"/>
        </w:rPr>
        <w:t>，根据甲方于</w:t>
      </w:r>
      <w:r>
        <w:rPr>
          <w:rFonts w:ascii="楷体_GB2312" w:hAnsi="宋体" w:eastAsia="楷体_GB2312"/>
          <w:b/>
          <w:kern w:val="1"/>
          <w:sz w:val="24"/>
          <w:u w:val="single"/>
        </w:rPr>
        <w:t xml:space="preserve">  </w:t>
      </w:r>
      <w:bookmarkStart w:id="0" w:name="PactSignDate"/>
      <w:bookmarkEnd w:id="0"/>
      <w:r>
        <w:rPr>
          <w:rFonts w:ascii="楷体_GB2312" w:hAnsi="宋体" w:eastAsia="楷体_GB2312"/>
          <w:b/>
          <w:kern w:val="1"/>
          <w:sz w:val="24"/>
          <w:u w:val="single"/>
        </w:rPr>
        <w:t xml:space="preserve">   </w:t>
      </w:r>
      <w:bookmarkStart w:id="2" w:name="_GoBack"/>
      <w:bookmarkEnd w:id="2"/>
      <w:r>
        <w:rPr>
          <w:rFonts w:ascii="楷体_GB2312" w:hAnsi="宋体" w:eastAsia="楷体_GB2312"/>
          <w:b/>
          <w:kern w:val="1"/>
          <w:sz w:val="24"/>
          <w:u w:val="single"/>
        </w:rPr>
        <w:t xml:space="preserve">       </w:t>
      </w:r>
      <w:r>
        <w:rPr>
          <w:rFonts w:hint="eastAsia" w:ascii="楷体_GB2312" w:hAnsi="宋体" w:eastAsia="楷体_GB2312"/>
          <w:kern w:val="1"/>
          <w:sz w:val="24"/>
          <w:lang w:eastAsia="ar-SA"/>
        </w:rPr>
        <w:t>年</w:t>
      </w:r>
      <w:r>
        <w:rPr>
          <w:rFonts w:hint="eastAsia" w:ascii="楷体_GB2312" w:hAnsi="宋体" w:eastAsia="楷体_GB2312"/>
          <w:kern w:val="1"/>
          <w:sz w:val="24"/>
        </w:rPr>
        <w:t>与</w:t>
      </w:r>
      <w:r>
        <w:rPr>
          <w:rFonts w:hint="eastAsia" w:ascii="楷体_GB2312" w:hAnsi="宋体" w:eastAsia="楷体_GB2312"/>
          <w:kern w:val="1"/>
          <w:sz w:val="24"/>
          <w:lang w:eastAsia="ar-SA"/>
        </w:rPr>
        <w:t>建设单位</w:t>
      </w:r>
      <w:r>
        <w:rPr>
          <w:rFonts w:hint="eastAsia" w:ascii="楷体_GB2312" w:hAnsi="宋体" w:eastAsia="楷体_GB2312"/>
          <w:kern w:val="1"/>
          <w:sz w:val="24"/>
        </w:rPr>
        <w:t>&lt;</w:t>
      </w:r>
      <w:r>
        <w:rPr>
          <w:rFonts w:hint="eastAsia" w:ascii="楷体_GB2312" w:hAnsi="宋体" w:eastAsia="楷体_GB2312"/>
          <w:b/>
          <w:kern w:val="1"/>
          <w:sz w:val="24"/>
          <w:u w:val="single"/>
        </w:rPr>
        <w:t xml:space="preserve"> </w:t>
      </w:r>
      <w:r>
        <w:rPr>
          <w:rFonts w:ascii="楷体_GB2312" w:hAnsi="宋体" w:eastAsia="楷体_GB2312"/>
          <w:b/>
          <w:kern w:val="1"/>
          <w:sz w:val="24"/>
          <w:u w:val="single"/>
        </w:rPr>
        <w:t xml:space="preserve">                </w:t>
      </w:r>
      <w:r>
        <w:rPr>
          <w:rFonts w:hint="eastAsia" w:ascii="楷体_GB2312" w:hAnsi="宋体" w:eastAsia="楷体_GB2312"/>
          <w:b/>
          <w:kern w:val="1"/>
          <w:sz w:val="24"/>
          <w:u w:val="single"/>
        </w:rPr>
        <w:t>&gt;</w:t>
      </w:r>
      <w:r>
        <w:rPr>
          <w:rFonts w:hint="eastAsia" w:ascii="楷体_GB2312" w:hAnsi="宋体" w:eastAsia="楷体_GB2312"/>
          <w:kern w:val="1"/>
          <w:sz w:val="24"/>
          <w:lang w:eastAsia="ar-SA"/>
        </w:rPr>
        <w:t>签订的《</w:t>
      </w:r>
      <w:r>
        <w:rPr>
          <w:rFonts w:hint="eastAsia" w:ascii="楷体_GB2312" w:hAnsi="宋体" w:eastAsia="楷体_GB2312"/>
          <w:b/>
          <w:kern w:val="1"/>
          <w:sz w:val="24"/>
          <w:u w:val="single"/>
        </w:rPr>
        <w:t xml:space="preserve"> </w:t>
      </w:r>
      <w:r>
        <w:rPr>
          <w:rFonts w:ascii="楷体_GB2312" w:hAnsi="宋体" w:eastAsia="楷体_GB2312"/>
          <w:b/>
          <w:kern w:val="1"/>
          <w:sz w:val="24"/>
          <w:u w:val="single"/>
        </w:rPr>
        <w:t xml:space="preserve">                             </w:t>
      </w:r>
      <w:r>
        <w:rPr>
          <w:rFonts w:hint="eastAsia" w:ascii="楷体_GB2312" w:hAnsi="宋体" w:eastAsia="楷体_GB2312"/>
          <w:kern w:val="1"/>
          <w:sz w:val="24"/>
          <w:lang w:eastAsia="ar-SA"/>
        </w:rPr>
        <w:t>建设工程施工合同》</w:t>
      </w:r>
      <w:r>
        <w:rPr>
          <w:rFonts w:hint="eastAsia" w:ascii="楷体_GB2312" w:hAnsi="宋体" w:eastAsia="楷体_GB2312"/>
          <w:kern w:val="1"/>
          <w:sz w:val="24"/>
        </w:rPr>
        <w:t>（以下简称《施工合同》），</w:t>
      </w:r>
      <w:r>
        <w:rPr>
          <w:rFonts w:hint="eastAsia" w:ascii="楷体_GB2312" w:hAnsi="宋体" w:eastAsia="楷体_GB2312"/>
          <w:kern w:val="1"/>
          <w:sz w:val="24"/>
          <w:lang w:eastAsia="ar-SA"/>
        </w:rPr>
        <w:t>甲方决定将</w:t>
      </w:r>
      <w:r>
        <w:rPr>
          <w:rFonts w:hint="eastAsia" w:ascii="楷体_GB2312" w:hAnsi="宋体" w:eastAsia="楷体_GB2312"/>
          <w:b/>
          <w:kern w:val="1"/>
          <w:sz w:val="24"/>
          <w:u w:val="single"/>
        </w:rPr>
        <w:t xml:space="preserve">   </w:t>
      </w:r>
      <w:r>
        <w:rPr>
          <w:rFonts w:ascii="楷体_GB2312" w:hAnsi="宋体" w:eastAsia="楷体_GB2312"/>
          <w:b/>
          <w:kern w:val="1"/>
          <w:sz w:val="24"/>
          <w:u w:val="single"/>
        </w:rPr>
        <w:t xml:space="preserve">                           </w:t>
      </w:r>
      <w:r>
        <w:rPr>
          <w:rFonts w:hint="eastAsia" w:ascii="楷体_GB2312" w:hAnsi="宋体" w:eastAsia="楷体_GB2312"/>
          <w:b/>
          <w:kern w:val="1"/>
          <w:sz w:val="24"/>
          <w:u w:val="single"/>
        </w:rPr>
        <w:t xml:space="preserve"> </w:t>
      </w:r>
      <w:r>
        <w:rPr>
          <w:rFonts w:hint="eastAsia" w:ascii="楷体_GB2312" w:hAnsi="宋体" w:eastAsia="楷体_GB2312"/>
          <w:kern w:val="1"/>
          <w:sz w:val="24"/>
          <w:lang w:eastAsia="ar-SA"/>
        </w:rPr>
        <w:t>的施工任务安排给乙方负责组织实施</w:t>
      </w:r>
      <w:r>
        <w:rPr>
          <w:rFonts w:hint="eastAsia" w:ascii="楷体_GB2312" w:hAnsi="宋体" w:eastAsia="楷体_GB2312"/>
          <w:kern w:val="1"/>
          <w:sz w:val="24"/>
        </w:rPr>
        <w:t>，</w:t>
      </w:r>
      <w:r>
        <w:rPr>
          <w:rFonts w:hint="eastAsia" w:ascii="楷体_GB2312" w:hAnsi="宋体" w:eastAsia="楷体_GB2312"/>
          <w:kern w:val="1"/>
          <w:sz w:val="24"/>
          <w:lang w:eastAsia="ar-SA"/>
        </w:rPr>
        <w:t>并由乙方全</w:t>
      </w:r>
      <w:r>
        <w:rPr>
          <w:rFonts w:hint="eastAsia" w:ascii="楷体_GB2312" w:hAnsi="宋体" w:eastAsia="楷体_GB2312"/>
          <w:kern w:val="1"/>
          <w:sz w:val="24"/>
        </w:rPr>
        <w:t>面</w:t>
      </w:r>
      <w:r>
        <w:rPr>
          <w:rFonts w:hint="eastAsia" w:ascii="楷体_GB2312" w:hAnsi="宋体" w:eastAsia="楷体_GB2312"/>
          <w:kern w:val="1"/>
          <w:sz w:val="24"/>
          <w:lang w:eastAsia="ar-SA"/>
        </w:rPr>
        <w:t>履行甲方与建设单位签订的《施工合同》中的全部条款。根据《中华人民共和国合同法》</w:t>
      </w:r>
      <w:r>
        <w:rPr>
          <w:rFonts w:hint="eastAsia" w:ascii="楷体_GB2312" w:hAnsi="宋体" w:eastAsia="楷体_GB2312"/>
          <w:kern w:val="1"/>
          <w:sz w:val="24"/>
        </w:rPr>
        <w:t>、</w:t>
      </w:r>
      <w:r>
        <w:rPr>
          <w:rFonts w:hint="eastAsia" w:ascii="楷体_GB2312" w:hAnsi="宋体" w:eastAsia="楷体_GB2312"/>
          <w:kern w:val="1"/>
          <w:sz w:val="24"/>
          <w:lang w:eastAsia="ar-SA"/>
        </w:rPr>
        <w:t>《中华人民共和国建筑法》等有关法律、法规的规定</w:t>
      </w:r>
      <w:r>
        <w:rPr>
          <w:rFonts w:hint="eastAsia" w:ascii="楷体_GB2312" w:hAnsi="宋体" w:eastAsia="楷体_GB2312"/>
          <w:kern w:val="1"/>
          <w:sz w:val="24"/>
        </w:rPr>
        <w:t>，</w:t>
      </w:r>
      <w:r>
        <w:rPr>
          <w:rFonts w:hint="eastAsia" w:ascii="楷体_GB2312" w:hAnsi="宋体" w:eastAsia="楷体_GB2312"/>
          <w:sz w:val="24"/>
        </w:rPr>
        <w:t>遵循平等、自愿、公平和诚实信用的原则，</w:t>
      </w:r>
      <w:r>
        <w:rPr>
          <w:rFonts w:hint="eastAsia" w:ascii="楷体_GB2312" w:hAnsi="宋体" w:eastAsia="楷体_GB2312"/>
          <w:kern w:val="1"/>
          <w:sz w:val="24"/>
          <w:lang w:eastAsia="ar-SA"/>
        </w:rPr>
        <w:t>经甲乙双方协商一致，</w:t>
      </w:r>
      <w:r>
        <w:rPr>
          <w:rFonts w:hint="eastAsia" w:ascii="楷体_GB2312" w:hAnsi="宋体" w:eastAsia="楷体_GB2312"/>
          <w:sz w:val="24"/>
        </w:rPr>
        <w:t>订立本协议。</w:t>
      </w:r>
    </w:p>
    <w:p>
      <w:pPr>
        <w:spacing w:before="156" w:beforeLines="50" w:line="400" w:lineRule="exact"/>
        <w:ind w:firstLine="482" w:firstLineChars="200"/>
        <w:outlineLvl w:val="0"/>
        <w:rPr>
          <w:rFonts w:ascii="楷体_GB2312" w:hAnsi="宋体" w:eastAsia="楷体_GB2312"/>
          <w:b/>
          <w:sz w:val="30"/>
        </w:rPr>
      </w:pPr>
      <w:r>
        <w:rPr>
          <w:rFonts w:hint="eastAsia" w:ascii="楷体_GB2312" w:hAnsi="宋体" w:eastAsia="楷体_GB2312"/>
          <w:b/>
          <w:sz w:val="24"/>
        </w:rPr>
        <w:t>一、工程概况</w:t>
      </w:r>
    </w:p>
    <w:p>
      <w:pPr>
        <w:spacing w:line="400" w:lineRule="exact"/>
        <w:ind w:firstLine="480" w:firstLineChars="200"/>
        <w:rPr>
          <w:rFonts w:hint="eastAsia" w:ascii="楷体_GB2312" w:hAnsi="宋体" w:eastAsia="楷体_GB2312"/>
          <w:b/>
          <w:kern w:val="1"/>
          <w:sz w:val="24"/>
          <w:u w:val="single"/>
        </w:rPr>
      </w:pPr>
      <w:r>
        <w:rPr>
          <w:rFonts w:hint="eastAsia" w:ascii="楷体_GB2312" w:hAnsi="宋体" w:eastAsia="楷体_GB2312"/>
          <w:sz w:val="24"/>
        </w:rPr>
        <w:t>1、工程名称：</w:t>
      </w:r>
      <w:r>
        <w:rPr>
          <w:rFonts w:hint="eastAsia" w:ascii="楷体_GB2312" w:hAnsi="宋体" w:eastAsia="楷体_GB2312"/>
          <w:b/>
          <w:kern w:val="1"/>
          <w:sz w:val="24"/>
          <w:u w:val="single"/>
        </w:rPr>
        <w:t xml:space="preserve"> </w:t>
      </w:r>
      <w:r>
        <w:rPr>
          <w:rFonts w:ascii="楷体_GB2312" w:hAnsi="宋体" w:eastAsia="楷体_GB2312"/>
          <w:b/>
          <w:kern w:val="1"/>
          <w:sz w:val="24"/>
          <w:u w:val="single"/>
        </w:rPr>
        <w:t xml:space="preserve">      </w:t>
      </w:r>
      <w:bookmarkStart w:id="1" w:name="PrjName"/>
      <w:bookmarkEnd w:id="1"/>
      <w:r>
        <w:rPr>
          <w:rFonts w:ascii="楷体_GB2312" w:hAnsi="宋体" w:eastAsia="楷体_GB2312"/>
          <w:b/>
          <w:kern w:val="1"/>
          <w:sz w:val="24"/>
          <w:u w:val="single"/>
        </w:rPr>
        <w:t xml:space="preserve">                          </w:t>
      </w:r>
    </w:p>
    <w:p>
      <w:pPr>
        <w:spacing w:line="400" w:lineRule="exact"/>
        <w:ind w:firstLine="480" w:firstLineChars="200"/>
        <w:rPr>
          <w:rFonts w:hint="eastAsia" w:ascii="楷体_GB2312" w:hAnsi="宋体" w:eastAsia="楷体_GB2312"/>
          <w:b/>
          <w:kern w:val="1"/>
          <w:sz w:val="24"/>
          <w:u w:val="single"/>
          <w:lang w:bidi="ar"/>
        </w:rPr>
      </w:pPr>
      <w:r>
        <w:rPr>
          <w:rFonts w:hint="eastAsia" w:ascii="楷体_GB2312" w:hAnsi="宋体" w:eastAsia="楷体_GB2312"/>
          <w:sz w:val="24"/>
        </w:rPr>
        <w:t>2、工程地点：</w:t>
      </w:r>
      <w:r>
        <w:rPr>
          <w:rFonts w:hint="eastAsia" w:ascii="楷体_GB2312" w:hAnsi="宋体" w:eastAsia="楷体_GB2312"/>
          <w:sz w:val="24"/>
          <w:u w:val="single"/>
        </w:rPr>
        <w:t xml:space="preserve">  </w:t>
      </w:r>
      <w:r>
        <w:rPr>
          <w:rFonts w:hint="eastAsia" w:ascii="楷体_GB2312" w:hAnsi="宋体" w:eastAsia="楷体_GB2312"/>
          <w:b/>
          <w:kern w:val="1"/>
          <w:sz w:val="24"/>
          <w:u w:val="single"/>
          <w:lang w:bidi="ar"/>
        </w:rPr>
        <w:t xml:space="preserve"> </w:t>
      </w:r>
      <w:r>
        <w:rPr>
          <w:rFonts w:ascii="楷体_GB2312" w:hAnsi="宋体" w:eastAsia="楷体_GB2312"/>
          <w:b/>
          <w:kern w:val="1"/>
          <w:sz w:val="24"/>
          <w:u w:val="single"/>
          <w:lang w:bidi="ar"/>
        </w:rPr>
        <w:t xml:space="preserve">                                   </w:t>
      </w:r>
    </w:p>
    <w:p>
      <w:pPr>
        <w:adjustRightInd w:val="0"/>
        <w:snapToGrid w:val="0"/>
        <w:spacing w:line="360" w:lineRule="auto"/>
        <w:ind w:firstLine="480" w:firstLineChars="200"/>
        <w:rPr>
          <w:rFonts w:ascii="楷体_GB2312" w:hAnsi="宋体" w:eastAsia="楷体_GB2312"/>
          <w:b/>
          <w:kern w:val="1"/>
          <w:sz w:val="24"/>
          <w:u w:val="single"/>
        </w:rPr>
      </w:pPr>
      <w:r>
        <w:rPr>
          <w:rFonts w:hint="eastAsia" w:ascii="楷体_GB2312" w:hAnsi="宋体" w:eastAsia="楷体_GB2312"/>
          <w:sz w:val="24"/>
        </w:rPr>
        <w:t>3、工程规模及特征：</w:t>
      </w:r>
      <w:r>
        <w:rPr>
          <w:rFonts w:hint="eastAsia" w:ascii="楷体_GB2312" w:hAnsi="宋体" w:eastAsia="楷体_GB2312"/>
          <w:b/>
          <w:kern w:val="1"/>
          <w:sz w:val="24"/>
          <w:u w:val="single"/>
        </w:rPr>
        <w:t xml:space="preserve"> </w:t>
      </w:r>
      <w:r>
        <w:rPr>
          <w:rFonts w:ascii="楷体_GB2312" w:hAnsi="宋体" w:eastAsia="楷体_GB2312"/>
          <w:b/>
          <w:kern w:val="1"/>
          <w:sz w:val="24"/>
          <w:u w:val="single"/>
        </w:rPr>
        <w:t xml:space="preserve">                                   </w:t>
      </w:r>
    </w:p>
    <w:p>
      <w:pPr>
        <w:adjustRightInd w:val="0"/>
        <w:snapToGrid w:val="0"/>
        <w:spacing w:line="360" w:lineRule="auto"/>
        <w:ind w:firstLine="480" w:firstLineChars="200"/>
        <w:rPr>
          <w:rFonts w:hint="eastAsia" w:ascii="楷体_GB2312" w:hAnsi="宋体" w:eastAsia="楷体_GB2312"/>
          <w:sz w:val="24"/>
        </w:rPr>
      </w:pPr>
      <w:r>
        <w:rPr>
          <w:rFonts w:hint="eastAsia" w:ascii="楷体_GB2312" w:hAnsi="宋体" w:eastAsia="楷体_GB2312"/>
          <w:sz w:val="24"/>
        </w:rPr>
        <w:t>4、本工程结构形式为：本工程建筑高度及建筑面积明细详见图纸说明及设计方案文本。</w:t>
      </w:r>
    </w:p>
    <w:p>
      <w:pPr>
        <w:spacing w:line="400" w:lineRule="exact"/>
        <w:ind w:firstLine="480" w:firstLineChars="200"/>
        <w:rPr>
          <w:rFonts w:ascii="楷体_GB2312" w:hAnsi="宋体" w:eastAsia="楷体_GB2312"/>
          <w:sz w:val="24"/>
          <w:u w:val="single"/>
        </w:rPr>
      </w:pPr>
      <w:r>
        <w:rPr>
          <w:rFonts w:hint="eastAsia" w:ascii="楷体_GB2312" w:hAnsi="宋体" w:eastAsia="楷体_GB2312"/>
          <w:sz w:val="24"/>
        </w:rPr>
        <w:t>5、合同价款（暂定价）：</w:t>
      </w:r>
      <w:r>
        <w:rPr>
          <w:rFonts w:ascii="楷体_GB2312" w:hAnsi="宋体" w:eastAsia="楷体_GB2312"/>
          <w:sz w:val="24"/>
          <w:u w:val="single"/>
        </w:rPr>
        <w:t xml:space="preserve">              </w:t>
      </w:r>
      <w:r>
        <w:rPr>
          <w:rFonts w:hint="eastAsia" w:ascii="楷体_GB2312" w:hAnsi="宋体" w:eastAsia="楷体_GB2312"/>
          <w:sz w:val="24"/>
          <w:u w:val="single"/>
        </w:rPr>
        <w:t xml:space="preserve">元（以结算总价为最终合同价款）                   </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6、开工工期:</w:t>
      </w:r>
      <w:r>
        <w:rPr>
          <w:rFonts w:hint="eastAsia" w:ascii="楷体_GB2312" w:hAnsi="宋体" w:eastAsia="楷体_GB2312"/>
          <w:sz w:val="24"/>
          <w:u w:val="single"/>
        </w:rPr>
        <w:t xml:space="preserve"> </w:t>
      </w:r>
      <w:r>
        <w:rPr>
          <w:rFonts w:ascii="楷体_GB2312" w:hAnsi="宋体" w:eastAsia="楷体_GB2312"/>
          <w:sz w:val="24"/>
          <w:u w:val="single"/>
        </w:rPr>
        <w:t xml:space="preserve">      </w:t>
      </w:r>
      <w:r>
        <w:rPr>
          <w:rFonts w:hint="eastAsia" w:ascii="楷体_GB2312" w:hAnsi="宋体" w:eastAsia="楷体_GB2312"/>
          <w:sz w:val="24"/>
          <w:u w:val="single"/>
        </w:rPr>
        <w:t xml:space="preserve">  </w:t>
      </w:r>
      <w:r>
        <w:rPr>
          <w:rFonts w:hint="eastAsia" w:ascii="楷体_GB2312" w:hAnsi="宋体" w:eastAsia="楷体_GB2312"/>
          <w:sz w:val="24"/>
        </w:rPr>
        <w:t xml:space="preserve">竣工日期： </w:t>
      </w:r>
      <w:r>
        <w:rPr>
          <w:rFonts w:hint="eastAsia" w:ascii="楷体_GB2312" w:hAnsi="宋体" w:eastAsia="楷体_GB2312"/>
          <w:sz w:val="24"/>
          <w:u w:val="single"/>
        </w:rPr>
        <w:t xml:space="preserve"> </w:t>
      </w:r>
      <w:r>
        <w:rPr>
          <w:rFonts w:ascii="楷体_GB2312" w:hAnsi="宋体" w:eastAsia="楷体_GB2312"/>
          <w:sz w:val="24"/>
          <w:u w:val="single"/>
        </w:rPr>
        <w:t xml:space="preserve">        </w:t>
      </w:r>
      <w:r>
        <w:rPr>
          <w:rFonts w:hint="eastAsia" w:ascii="楷体_GB2312" w:hAnsi="宋体" w:eastAsia="楷体_GB2312"/>
          <w:sz w:val="24"/>
          <w:u w:val="single"/>
        </w:rPr>
        <w:t xml:space="preserve">  </w:t>
      </w:r>
      <w:r>
        <w:rPr>
          <w:rFonts w:hint="eastAsia" w:ascii="楷体_GB2312" w:hAnsi="宋体" w:eastAsia="楷体_GB2312"/>
          <w:sz w:val="24"/>
        </w:rPr>
        <w:t xml:space="preserve"> ；合同总工期</w:t>
      </w:r>
      <w:r>
        <w:rPr>
          <w:rFonts w:ascii="楷体_GB2312" w:hAnsi="宋体" w:eastAsia="楷体_GB2312"/>
          <w:sz w:val="24"/>
        </w:rPr>
        <w:t>:</w:t>
      </w:r>
      <w:r>
        <w:rPr>
          <w:rFonts w:hint="eastAsia" w:ascii="楷体_GB2312" w:hAnsi="宋体" w:eastAsia="楷体_GB2312"/>
          <w:sz w:val="24"/>
          <w:u w:val="single"/>
        </w:rPr>
        <w:t xml:space="preserve"> </w:t>
      </w:r>
      <w:r>
        <w:rPr>
          <w:rFonts w:ascii="楷体_GB2312" w:hAnsi="宋体" w:eastAsia="楷体_GB2312"/>
          <w:sz w:val="24"/>
          <w:u w:val="single"/>
        </w:rPr>
        <w:t xml:space="preserve">       </w:t>
      </w:r>
      <w:r>
        <w:rPr>
          <w:rFonts w:hint="eastAsia" w:ascii="楷体_GB2312" w:hAnsi="宋体" w:eastAsia="楷体_GB2312"/>
          <w:sz w:val="24"/>
        </w:rPr>
        <w:t>日历天。</w:t>
      </w:r>
    </w:p>
    <w:p>
      <w:pPr>
        <w:spacing w:before="156" w:beforeLines="50" w:line="400" w:lineRule="exact"/>
        <w:ind w:firstLine="482" w:firstLineChars="200"/>
        <w:outlineLvl w:val="0"/>
        <w:rPr>
          <w:rFonts w:ascii="楷体_GB2312" w:hAnsi="宋体" w:eastAsia="楷体_GB2312"/>
          <w:b/>
          <w:sz w:val="24"/>
        </w:rPr>
      </w:pPr>
      <w:r>
        <w:rPr>
          <w:rFonts w:hint="eastAsia" w:ascii="楷体_GB2312" w:hAnsi="宋体" w:eastAsia="楷体_GB2312"/>
          <w:b/>
          <w:sz w:val="24"/>
        </w:rPr>
        <w:t>二、承包范围</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施工图设计、工程量清单及《施工合同》所包含的全部工作内容。</w:t>
      </w:r>
    </w:p>
    <w:p>
      <w:pPr>
        <w:spacing w:before="156" w:beforeLines="50" w:line="400" w:lineRule="exact"/>
        <w:ind w:firstLine="482" w:firstLineChars="200"/>
        <w:outlineLvl w:val="0"/>
        <w:rPr>
          <w:rFonts w:ascii="楷体_GB2312" w:hAnsi="宋体" w:eastAsia="楷体_GB2312"/>
          <w:b/>
          <w:sz w:val="24"/>
        </w:rPr>
      </w:pPr>
      <w:r>
        <w:rPr>
          <w:rFonts w:hint="eastAsia" w:ascii="楷体_GB2312" w:hAnsi="宋体" w:eastAsia="楷体_GB2312"/>
          <w:b/>
          <w:sz w:val="24"/>
        </w:rPr>
        <w:t>三、承包方式</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1、乙方采用“包工、包料、包机械设备、包税金、包工期、包质量、包安全、包文明施工和环境保护、包涉及《施工合同》范围内甲方对建设单位的所有承诺及建设单位对甲方所作的所有规定、约束等”的方式全面独立包干本工程，自担风险，全面履行甲方与建设单位签订的《施工合同》中甲方的全部权利义务。</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2、乙方对本工程承包项目负全部责任，采取本项目经济独立核算、自负盈亏的方式经营。</w:t>
      </w:r>
    </w:p>
    <w:p>
      <w:pPr>
        <w:spacing w:before="156" w:beforeLines="50" w:line="400" w:lineRule="exact"/>
        <w:ind w:firstLine="482" w:firstLineChars="200"/>
        <w:outlineLvl w:val="0"/>
        <w:rPr>
          <w:rFonts w:ascii="楷体_GB2312" w:hAnsi="宋体" w:eastAsia="楷体_GB2312"/>
          <w:b/>
          <w:sz w:val="24"/>
        </w:rPr>
      </w:pPr>
      <w:r>
        <w:rPr>
          <w:rFonts w:hint="eastAsia" w:ascii="楷体_GB2312" w:hAnsi="宋体" w:eastAsia="楷体_GB2312"/>
          <w:b/>
          <w:sz w:val="24"/>
        </w:rPr>
        <w:t>四、工程质量</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1、工程质量标准：按照国家验收标准达到《施工合同》中规定的质量要求。</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2、该工程若参加建筑行业评优活动，甲方负责与国家、省、市等建设行政主管单位相关部门联系，并承担联系和评审的费用。乙方负责建筑物按规范标准（或评奖标准）施工及提供工程评奖资料。</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3、单个项目的规格达到申请评优标准的，要求申报安全、文明“双优奖”、“优质结构工程奖”或“优质工程奖”，争创省(市)优、“鲁班奖”工程。对荣获省级优质工程奖励的项目，甲方将对该项目的管理费减免</w:t>
      </w:r>
      <w:r>
        <w:rPr>
          <w:rFonts w:hint="eastAsia" w:ascii="楷体_GB2312" w:hAnsi="宋体" w:eastAsia="楷体_GB2312"/>
          <w:color w:val="FF0000"/>
          <w:sz w:val="24"/>
        </w:rPr>
        <w:t>0.2%</w:t>
      </w:r>
      <w:r>
        <w:rPr>
          <w:rFonts w:hint="eastAsia" w:ascii="楷体_GB2312" w:hAnsi="宋体" w:eastAsia="楷体_GB2312"/>
          <w:sz w:val="24"/>
        </w:rPr>
        <w:t>收取；对荣获国家级优质工程奖励的项目，甲方将减免该项目的管理费</w:t>
      </w:r>
      <w:r>
        <w:rPr>
          <w:rFonts w:hint="eastAsia" w:ascii="楷体_GB2312" w:hAnsi="宋体" w:eastAsia="楷体_GB2312"/>
          <w:color w:val="FF0000"/>
          <w:sz w:val="24"/>
        </w:rPr>
        <w:t>0.4%</w:t>
      </w:r>
      <w:r>
        <w:rPr>
          <w:rFonts w:hint="eastAsia" w:ascii="楷体_GB2312" w:hAnsi="宋体" w:eastAsia="楷体_GB2312"/>
          <w:sz w:val="24"/>
        </w:rPr>
        <w:t>。</w:t>
      </w:r>
    </w:p>
    <w:p>
      <w:pPr>
        <w:spacing w:line="400" w:lineRule="exact"/>
        <w:ind w:firstLine="482" w:firstLineChars="200"/>
        <w:rPr>
          <w:rFonts w:hint="eastAsia" w:ascii="楷体_GB2312" w:hAnsi="宋体" w:eastAsia="楷体_GB2312"/>
          <w:b/>
          <w:sz w:val="24"/>
        </w:rPr>
      </w:pPr>
      <w:r>
        <w:rPr>
          <w:rFonts w:hint="eastAsia" w:ascii="楷体_GB2312" w:hAnsi="宋体" w:eastAsia="楷体_GB2312"/>
          <w:b/>
          <w:sz w:val="24"/>
        </w:rPr>
        <w:t>五、工程款收取及相关承包费用</w:t>
      </w:r>
    </w:p>
    <w:p>
      <w:pPr>
        <w:spacing w:line="400" w:lineRule="exact"/>
        <w:ind w:firstLine="1205" w:firstLineChars="500"/>
        <w:rPr>
          <w:rFonts w:hint="eastAsia" w:ascii="楷体_GB2312" w:hAnsi="宋体" w:eastAsia="楷体_GB2312"/>
          <w:b/>
          <w:sz w:val="24"/>
        </w:rPr>
      </w:pPr>
      <w:r>
        <w:rPr>
          <w:rFonts w:hint="eastAsia" w:ascii="楷体_GB2312" w:hAnsi="宋体" w:eastAsia="楷体_GB2312"/>
          <w:b/>
          <w:sz w:val="24"/>
        </w:rPr>
        <w:t>本工程项目经济独立核算，承包责任人自负盈亏.工程款先由建设单位汇入甲方指定账户，再按照第六条约定支付至乙方账户。甲方指定账户为：</w:t>
      </w:r>
    </w:p>
    <w:p>
      <w:pPr>
        <w:spacing w:line="400" w:lineRule="exact"/>
        <w:ind w:firstLine="482" w:firstLineChars="200"/>
        <w:rPr>
          <w:rFonts w:hint="eastAsia" w:ascii="楷体_GB2312" w:hAnsi="宋体" w:eastAsia="楷体_GB2312"/>
          <w:b/>
          <w:sz w:val="24"/>
        </w:rPr>
      </w:pPr>
      <w:r>
        <w:rPr>
          <w:rFonts w:hint="eastAsia" w:ascii="楷体_GB2312" w:hAnsi="宋体" w:eastAsia="楷体_GB2312"/>
          <w:b/>
          <w:sz w:val="24"/>
        </w:rPr>
        <w:t xml:space="preserve">      开  户  行： </w:t>
      </w:r>
      <w:r>
        <w:rPr>
          <w:rFonts w:hint="eastAsia" w:ascii="楷体_GB2312" w:hAnsi="宋体" w:eastAsia="楷体_GB2312"/>
          <w:b/>
          <w:sz w:val="24"/>
          <w:u w:val="single"/>
        </w:rPr>
        <w:t xml:space="preserve">  中国建设银行股份有限公司深圳龙兴支行  </w:t>
      </w:r>
    </w:p>
    <w:p>
      <w:pPr>
        <w:spacing w:line="400" w:lineRule="exact"/>
        <w:ind w:firstLine="482" w:firstLineChars="200"/>
        <w:rPr>
          <w:rFonts w:hint="eastAsia" w:ascii="楷体_GB2312" w:hAnsi="宋体" w:eastAsia="楷体_GB2312"/>
          <w:b/>
          <w:sz w:val="24"/>
          <w:u w:val="single"/>
        </w:rPr>
      </w:pPr>
      <w:r>
        <w:rPr>
          <w:rFonts w:hint="eastAsia" w:ascii="楷体_GB2312" w:hAnsi="宋体" w:eastAsia="楷体_GB2312"/>
          <w:b/>
          <w:sz w:val="24"/>
        </w:rPr>
        <w:t xml:space="preserve">      开户名称：</w:t>
      </w:r>
      <w:r>
        <w:rPr>
          <w:rFonts w:hint="eastAsia" w:ascii="楷体_GB2312" w:hAnsi="宋体" w:eastAsia="楷体_GB2312"/>
          <w:b/>
          <w:sz w:val="24"/>
          <w:u w:val="single"/>
        </w:rPr>
        <w:t xml:space="preserve">   深圳市中浦信实业有限公司  </w:t>
      </w:r>
    </w:p>
    <w:p>
      <w:pPr>
        <w:spacing w:line="400" w:lineRule="exact"/>
        <w:ind w:firstLine="482" w:firstLineChars="200"/>
        <w:rPr>
          <w:rFonts w:ascii="楷体_GB2312" w:hAnsi="宋体" w:eastAsia="楷体_GB2312"/>
          <w:b/>
          <w:sz w:val="24"/>
          <w:u w:val="single"/>
        </w:rPr>
      </w:pPr>
      <w:r>
        <w:rPr>
          <w:rFonts w:hint="eastAsia" w:ascii="楷体_GB2312" w:hAnsi="宋体" w:eastAsia="楷体_GB2312"/>
          <w:b/>
          <w:sz w:val="24"/>
        </w:rPr>
        <w:t xml:space="preserve">      账     号：</w:t>
      </w:r>
      <w:r>
        <w:rPr>
          <w:rFonts w:hint="eastAsia" w:ascii="楷体_GB2312" w:hAnsi="宋体" w:eastAsia="楷体_GB2312"/>
          <w:b/>
          <w:sz w:val="24"/>
          <w:u w:val="single"/>
        </w:rPr>
        <w:t xml:space="preserve">   </w:t>
      </w:r>
      <w:r>
        <w:rPr>
          <w:rFonts w:ascii="楷体_GB2312" w:hAnsi="宋体" w:eastAsia="楷体_GB2312"/>
          <w:b/>
          <w:sz w:val="24"/>
          <w:u w:val="single"/>
        </w:rPr>
        <w:t>44250100001400000436</w:t>
      </w:r>
      <w:r>
        <w:rPr>
          <w:rFonts w:hint="eastAsia" w:ascii="楷体_GB2312" w:hAnsi="宋体" w:eastAsia="楷体_GB2312"/>
          <w:b/>
          <w:sz w:val="24"/>
          <w:u w:val="single"/>
        </w:rPr>
        <w:t xml:space="preserve">  </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1、工程合作费，甲方按该工程结算总造价的</w:t>
      </w:r>
      <w:r>
        <w:rPr>
          <w:rFonts w:hint="eastAsia" w:ascii="楷体_GB2312" w:hAnsi="宋体" w:eastAsia="楷体_GB2312"/>
          <w:sz w:val="24"/>
          <w:u w:val="single"/>
        </w:rPr>
        <w:t xml:space="preserve">    </w:t>
      </w:r>
      <w:r>
        <w:rPr>
          <w:rFonts w:ascii="楷体_GB2312" w:hAnsi="宋体" w:eastAsia="楷体_GB2312"/>
          <w:sz w:val="24"/>
          <w:u w:val="single"/>
        </w:rPr>
        <w:t xml:space="preserve">  </w:t>
      </w:r>
      <w:r>
        <w:rPr>
          <w:rFonts w:hint="eastAsia" w:ascii="楷体_GB2312" w:hAnsi="宋体" w:eastAsia="楷体_GB2312"/>
          <w:sz w:val="24"/>
          <w:u w:val="single"/>
        </w:rPr>
        <w:t xml:space="preserve">  %</w:t>
      </w:r>
      <w:r>
        <w:rPr>
          <w:rFonts w:hint="eastAsia" w:ascii="楷体_GB2312" w:hAnsi="宋体" w:eastAsia="楷体_GB2312"/>
          <w:sz w:val="24"/>
        </w:rPr>
        <w:t>收取，在每次工程款中按比例扣除。</w:t>
      </w:r>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2、工程管理费，甲方按该工程结算总造价的</w:t>
      </w:r>
      <w:r>
        <w:rPr>
          <w:rFonts w:hint="eastAsia" w:ascii="楷体_GB2312" w:hAnsi="宋体" w:eastAsia="楷体_GB2312"/>
          <w:sz w:val="24"/>
          <w:u w:val="single"/>
        </w:rPr>
        <w:t xml:space="preserve">  </w:t>
      </w:r>
      <w:r>
        <w:rPr>
          <w:rFonts w:ascii="楷体_GB2312" w:hAnsi="宋体" w:eastAsia="楷体_GB2312"/>
          <w:sz w:val="24"/>
          <w:u w:val="single"/>
        </w:rPr>
        <w:t xml:space="preserve">   </w:t>
      </w:r>
      <w:r>
        <w:rPr>
          <w:rFonts w:hint="eastAsia" w:ascii="楷体_GB2312" w:hAnsi="宋体" w:eastAsia="楷体_GB2312"/>
          <w:sz w:val="24"/>
          <w:u w:val="single"/>
        </w:rPr>
        <w:t xml:space="preserve"> %</w:t>
      </w:r>
      <w:r>
        <w:rPr>
          <w:rFonts w:hint="eastAsia" w:ascii="楷体_GB2312" w:hAnsi="宋体" w:eastAsia="楷体_GB2312"/>
          <w:sz w:val="24"/>
        </w:rPr>
        <w:t>收取，在每次工程款中按比例扣除，管理费总额按最终确认的项目结算总价计取。</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3、</w:t>
      </w:r>
      <w:r>
        <w:rPr>
          <w:rFonts w:hint="eastAsia" w:ascii="楷体_GB2312" w:hAnsi="宋体" w:eastAsia="楷体_GB2312"/>
          <w:color w:val="FF0000"/>
          <w:sz w:val="24"/>
        </w:rPr>
        <w:t>工程风险管理金</w:t>
      </w:r>
      <w:r>
        <w:rPr>
          <w:rFonts w:hint="eastAsia" w:ascii="楷体_GB2312" w:hAnsi="宋体" w:eastAsia="楷体_GB2312"/>
          <w:sz w:val="24"/>
        </w:rPr>
        <w:t>，如工程总造价在100~200万元之间，则甲方按工程总造价的1%收取，200~5000万元按0.5%收取，5000万元以上按0.3%收取。风险管理金由甲方在收到第一笔工程款后直接扣除。该风险管理金在本项目竣工验收合格，供应商账款、工人工资等相关债权债务清算完毕后，甲方须在两个工作日内退还乙方（无息）。乙方需在最短的时间内提供履约保函，甲方需过目原件并保留复印件。</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4、</w:t>
      </w:r>
      <w:r>
        <w:rPr>
          <w:rFonts w:hint="eastAsia" w:ascii="楷体_GB2312" w:hAnsi="宋体" w:eastAsia="楷体_GB2312"/>
          <w:color w:val="FF0000"/>
          <w:sz w:val="24"/>
        </w:rPr>
        <w:t>工程质量、安全保证金</w:t>
      </w:r>
      <w:r>
        <w:rPr>
          <w:rFonts w:hint="eastAsia" w:ascii="楷体_GB2312" w:hAnsi="宋体" w:eastAsia="楷体_GB2312"/>
          <w:sz w:val="24"/>
        </w:rPr>
        <w:t>，甲方按该工程总造价的</w:t>
      </w:r>
      <w:r>
        <w:rPr>
          <w:rFonts w:hint="eastAsia" w:ascii="楷体_GB2312" w:hAnsi="宋体" w:eastAsia="楷体_GB2312"/>
          <w:sz w:val="24"/>
          <w:u w:val="single"/>
        </w:rPr>
        <w:t xml:space="preserve">   </w:t>
      </w:r>
      <w:r>
        <w:rPr>
          <w:rFonts w:ascii="楷体_GB2312" w:hAnsi="宋体" w:eastAsia="楷体_GB2312"/>
          <w:sz w:val="24"/>
          <w:u w:val="single"/>
        </w:rPr>
        <w:t xml:space="preserve"> </w:t>
      </w:r>
      <w:r>
        <w:rPr>
          <w:rFonts w:hint="eastAsia" w:ascii="楷体_GB2312" w:hAnsi="宋体" w:eastAsia="楷体_GB2312"/>
          <w:sz w:val="24"/>
          <w:u w:val="single"/>
        </w:rPr>
        <w:t xml:space="preserve"> %</w:t>
      </w:r>
      <w:r>
        <w:rPr>
          <w:rFonts w:hint="eastAsia" w:ascii="楷体_GB2312" w:hAnsi="宋体" w:eastAsia="楷体_GB2312"/>
          <w:sz w:val="24"/>
        </w:rPr>
        <w:t>收取，在每次收取的工程款中扣除。该工程质量保证金在本项目竣工验收合格后，甲方在两个工作日内退还乙方（无息）。</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5、乙方负责上缴税务局的一切税费及有关本工程的所有费用支出。税费按营改增方法征缴，提供相应的成本发票(</w:t>
      </w:r>
      <w:r>
        <w:rPr>
          <w:rFonts w:hint="eastAsia" w:ascii="楷体_GB2312" w:hAnsi="宋体" w:eastAsia="楷体_GB2312"/>
          <w:b/>
          <w:sz w:val="24"/>
        </w:rPr>
        <w:t>材料发票、劳务票及相关费用发票</w:t>
      </w:r>
      <w:r>
        <w:rPr>
          <w:rFonts w:hint="eastAsia" w:ascii="楷体_GB2312" w:hAnsi="宋体" w:eastAsia="楷体_GB2312"/>
          <w:sz w:val="24"/>
        </w:rPr>
        <w:t>)，并根据实际利润 [收入-(材料+劳务+费用）)计算工程的企业所得税。如遇税费政策变更，将按照最新政策执行。</w:t>
      </w:r>
    </w:p>
    <w:p>
      <w:pPr>
        <w:spacing w:line="400" w:lineRule="exact"/>
        <w:ind w:firstLine="480" w:firstLineChars="200"/>
        <w:rPr>
          <w:rFonts w:hint="eastAsia"/>
          <w:color w:val="FF0000"/>
        </w:rPr>
      </w:pPr>
      <w:r>
        <w:rPr>
          <w:rFonts w:hint="eastAsia" w:ascii="楷体_GB2312" w:hAnsi="宋体" w:eastAsia="楷体_GB2312"/>
          <w:color w:val="FF0000"/>
          <w:sz w:val="24"/>
        </w:rPr>
        <w:t>6、</w:t>
      </w:r>
      <w:r>
        <w:rPr>
          <w:rFonts w:ascii="楷体_GB2312" w:hAnsi="宋体" w:eastAsia="楷体_GB2312"/>
          <w:color w:val="FF0000"/>
          <w:sz w:val="24"/>
        </w:rPr>
        <w:t>甲方开具工程发票前，</w:t>
      </w:r>
      <w:r>
        <w:rPr>
          <w:rFonts w:hint="eastAsia" w:ascii="楷体_GB2312" w:hAnsi="宋体" w:eastAsia="楷体_GB2312"/>
          <w:color w:val="FF0000"/>
          <w:sz w:val="24"/>
        </w:rPr>
        <w:t>乙方应</w:t>
      </w:r>
      <w:r>
        <w:rPr>
          <w:rFonts w:ascii="楷体_GB2312" w:hAnsi="宋体" w:eastAsia="楷体_GB2312"/>
          <w:color w:val="FF0000"/>
          <w:sz w:val="24"/>
        </w:rPr>
        <w:t>提供足额的成本发票</w:t>
      </w:r>
      <w:r>
        <w:rPr>
          <w:rFonts w:hint="eastAsia" w:ascii="楷体_GB2312" w:hAnsi="宋体" w:eastAsia="楷体_GB2312"/>
          <w:color w:val="FF0000"/>
          <w:sz w:val="24"/>
        </w:rPr>
        <w:t>，若</w:t>
      </w:r>
      <w:r>
        <w:rPr>
          <w:rFonts w:ascii="楷体_GB2312" w:hAnsi="宋体" w:eastAsia="楷体_GB2312"/>
          <w:color w:val="FF0000"/>
          <w:sz w:val="24"/>
        </w:rPr>
        <w:t>乙方未能提供足额的成本发票，甲方</w:t>
      </w:r>
      <w:r>
        <w:rPr>
          <w:rFonts w:hint="eastAsia" w:ascii="楷体_GB2312" w:hAnsi="宋体" w:eastAsia="楷体_GB2312"/>
          <w:color w:val="FF0000"/>
          <w:sz w:val="24"/>
        </w:rPr>
        <w:t>预收</w:t>
      </w:r>
      <w:r>
        <w:rPr>
          <w:rFonts w:ascii="楷体_GB2312" w:hAnsi="宋体" w:eastAsia="楷体_GB2312"/>
          <w:color w:val="FF0000"/>
          <w:sz w:val="24"/>
        </w:rPr>
        <w:t>开票金额</w:t>
      </w:r>
      <w:r>
        <w:rPr>
          <w:rFonts w:hint="eastAsia" w:ascii="楷体_GB2312" w:hAnsi="宋体" w:eastAsia="楷体_GB2312"/>
          <w:color w:val="FF0000"/>
          <w:sz w:val="24"/>
        </w:rPr>
        <w:t>15.35%</w:t>
      </w:r>
      <w:r>
        <w:rPr>
          <w:rFonts w:ascii="楷体_GB2312" w:hAnsi="宋体" w:eastAsia="楷体_GB2312"/>
          <w:color w:val="FF0000"/>
          <w:sz w:val="24"/>
        </w:rPr>
        <w:t>的税费，</w:t>
      </w:r>
      <w:r>
        <w:rPr>
          <w:rFonts w:hint="eastAsia" w:ascii="楷体_GB2312" w:hAnsi="宋体" w:eastAsia="楷体_GB2312"/>
          <w:color w:val="FF0000"/>
          <w:sz w:val="24"/>
        </w:rPr>
        <w:t>待</w:t>
      </w:r>
      <w:r>
        <w:rPr>
          <w:rFonts w:ascii="楷体_GB2312" w:hAnsi="宋体" w:eastAsia="楷体_GB2312"/>
          <w:color w:val="FF0000"/>
          <w:sz w:val="24"/>
        </w:rPr>
        <w:t>乙方</w:t>
      </w:r>
      <w:r>
        <w:rPr>
          <w:rFonts w:hint="eastAsia" w:ascii="楷体_GB2312" w:hAnsi="宋体" w:eastAsia="楷体_GB2312"/>
          <w:color w:val="FF0000"/>
          <w:sz w:val="24"/>
        </w:rPr>
        <w:t>在</w:t>
      </w:r>
      <w:r>
        <w:rPr>
          <w:rFonts w:ascii="楷体_GB2312" w:hAnsi="宋体" w:eastAsia="楷体_GB2312"/>
          <w:color w:val="FF0000"/>
          <w:sz w:val="24"/>
        </w:rPr>
        <w:t>开票当月提供相应成本发票后，再办理退税事宜。</w:t>
      </w:r>
      <w:r>
        <w:rPr>
          <w:rFonts w:hint="eastAsia" w:ascii="楷体_GB2312" w:hAnsi="宋体" w:eastAsia="楷体_GB2312"/>
          <w:color w:val="FF0000"/>
          <w:sz w:val="24"/>
        </w:rPr>
        <w:t>若</w:t>
      </w:r>
      <w:r>
        <w:rPr>
          <w:rFonts w:ascii="楷体_GB2312" w:hAnsi="宋体" w:eastAsia="楷体_GB2312"/>
          <w:color w:val="FF0000"/>
          <w:sz w:val="24"/>
        </w:rPr>
        <w:t>乙方未提供相应成本发票或未在开票当月提供成本发票，甲方</w:t>
      </w:r>
      <w:r>
        <w:rPr>
          <w:rFonts w:hint="eastAsia" w:ascii="楷体_GB2312" w:hAnsi="宋体" w:eastAsia="楷体_GB2312"/>
          <w:color w:val="FF0000"/>
          <w:sz w:val="24"/>
        </w:rPr>
        <w:t>将</w:t>
      </w:r>
      <w:r>
        <w:rPr>
          <w:rFonts w:ascii="楷体_GB2312" w:hAnsi="宋体" w:eastAsia="楷体_GB2312"/>
          <w:color w:val="FF0000"/>
          <w:sz w:val="24"/>
        </w:rPr>
        <w:t>不退回预收的</w:t>
      </w:r>
      <w:r>
        <w:rPr>
          <w:rFonts w:hint="eastAsia" w:ascii="楷体_GB2312" w:hAnsi="宋体" w:eastAsia="楷体_GB2312"/>
          <w:color w:val="FF0000"/>
          <w:sz w:val="24"/>
        </w:rPr>
        <w:t>税金</w:t>
      </w:r>
      <w:r>
        <w:rPr>
          <w:rFonts w:ascii="楷体_GB2312" w:hAnsi="宋体" w:eastAsia="楷体_GB2312"/>
          <w:color w:val="FF0000"/>
          <w:sz w:val="24"/>
        </w:rPr>
        <w:t>。</w:t>
      </w:r>
    </w:p>
    <w:p>
      <w:pPr>
        <w:spacing w:line="400" w:lineRule="exact"/>
        <w:ind w:firstLine="482" w:firstLineChars="200"/>
        <w:rPr>
          <w:rFonts w:ascii="楷体_GB2312" w:hAnsi="宋体" w:eastAsia="楷体_GB2312"/>
          <w:b/>
          <w:sz w:val="24"/>
        </w:rPr>
      </w:pPr>
      <w:r>
        <w:rPr>
          <w:rFonts w:hint="eastAsia" w:ascii="楷体_GB2312" w:hAnsi="宋体" w:eastAsia="楷体_GB2312"/>
          <w:b/>
          <w:sz w:val="24"/>
        </w:rPr>
        <w:t>六、财务管理、付款与结算办法</w:t>
      </w:r>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1、乙方应严格执行甲方的各项财务、资金管理制度，财务经费按甲方有关财务管理规定执行。建设单位支付的每一笔工程款必须全额进入甲方账户，严禁乙方截留工程款，严禁乙方以分包单位名义外转资金；未经甲方书面许可，严禁由建设单位直接转付分包工程款。</w:t>
      </w:r>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2、建设单位每支付一笔工程款到达甲方账户后，由乙方提出资金使用计划和用款额度，填写付款</w:t>
      </w:r>
      <w:r>
        <w:rPr>
          <w:rFonts w:hint="eastAsia" w:ascii="楷体_GB2312" w:hAnsi="宋体" w:eastAsia="楷体_GB2312"/>
          <w:color w:val="FF0000"/>
          <w:sz w:val="24"/>
        </w:rPr>
        <w:t>申请书</w:t>
      </w:r>
      <w:r>
        <w:rPr>
          <w:rFonts w:hint="eastAsia" w:ascii="楷体_GB2312" w:hAnsi="宋体" w:eastAsia="楷体_GB2312"/>
          <w:sz w:val="24"/>
        </w:rPr>
        <w:t>，甲方根据本合同和核定的实际完成工程量，扣除甲方各项应收款和税金等款项后，经甲方负责人审核批准后，</w:t>
      </w:r>
      <w:r>
        <w:rPr>
          <w:rFonts w:hint="eastAsia" w:ascii="楷体_GB2312" w:hAnsi="宋体" w:eastAsia="楷体_GB2312"/>
          <w:color w:val="FF0000"/>
          <w:sz w:val="24"/>
        </w:rPr>
        <w:t>按工程</w:t>
      </w:r>
      <w:r>
        <w:rPr>
          <w:rFonts w:ascii="楷体_GB2312" w:hAnsi="宋体" w:eastAsia="楷体_GB2312"/>
          <w:color w:val="FF0000"/>
          <w:sz w:val="24"/>
        </w:rPr>
        <w:t>施工实际进度支付乙方工程进度款</w:t>
      </w:r>
      <w:r>
        <w:rPr>
          <w:rFonts w:hint="eastAsia" w:ascii="楷体_GB2312" w:hAnsi="宋体" w:eastAsia="楷体_GB2312"/>
          <w:sz w:val="24"/>
        </w:rPr>
        <w:t>。建设单位为本工程提供的建筑材料或其它有价服务、实物等，视同甲方支付给乙方的工程进度款。</w:t>
      </w:r>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3、乙方每次申请支付工程进度款，应提供上期的材料采购发票和有关付款依据。乙方承诺：①本工程材料全部提供厂家开具的增值税务发票及送货单；②发放工人工资表全部按正规手续提供；③其他材料按实际采购日期、数量、金额提供材料付款凭证。如乙方未按承诺要求提供，甲方有权拒付工程款给乙方。</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4、在转工程款之前，乙方必须提供与之相应的材料增值税专用发票以及农民工工资表、费用发票。一般征收项目（即指增值税税率为11%的项目），必须提供与之相应的材料增值税专用发票以及劳务增值税专用发票、费用增值税专用发票。未提供成本票部分按25%征收企业所得税，若所得税金额小于行业最低税负2%则按2%征收企业所得税。</w:t>
      </w:r>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5、所提供的增值税专用发票及普通发票必须</w:t>
      </w:r>
      <w:r>
        <w:rPr>
          <w:rFonts w:hint="eastAsia" w:ascii="楷体_GB2312" w:hAnsi="宋体" w:eastAsia="楷体_GB2312"/>
          <w:color w:val="FF0000"/>
          <w:sz w:val="24"/>
        </w:rPr>
        <w:t>对应</w:t>
      </w:r>
      <w:r>
        <w:rPr>
          <w:rFonts w:ascii="楷体_GB2312" w:hAnsi="宋体" w:eastAsia="楷体_GB2312"/>
          <w:color w:val="FF0000"/>
          <w:sz w:val="24"/>
        </w:rPr>
        <w:t>工程量清单上的主材</w:t>
      </w:r>
      <w:r>
        <w:rPr>
          <w:rFonts w:hint="eastAsia" w:ascii="楷体_GB2312" w:hAnsi="宋体" w:eastAsia="楷体_GB2312"/>
          <w:color w:val="FF0000"/>
          <w:sz w:val="24"/>
        </w:rPr>
        <w:t>及</w:t>
      </w:r>
      <w:r>
        <w:rPr>
          <w:rFonts w:ascii="楷体_GB2312" w:hAnsi="宋体" w:eastAsia="楷体_GB2312"/>
          <w:color w:val="FF0000"/>
          <w:sz w:val="24"/>
        </w:rPr>
        <w:t>辅材，且票证必须</w:t>
      </w:r>
      <w:r>
        <w:rPr>
          <w:rFonts w:hint="eastAsia" w:ascii="楷体_GB2312" w:hAnsi="宋体" w:eastAsia="楷体_GB2312"/>
          <w:sz w:val="24"/>
        </w:rPr>
        <w:t>符合四流合一，即合同流(采购材料及物品必须使用公司统一格式的采购合同，必须以公司的名义跟供应商签合同)、物流(供应商提供发货单必须与合同规定的物流信息一致)、发票流(发票的抬头必须填写公司的全称)、资金流(购买的材料及货款必须由公司代转)同为一法律主体。严禁购买发票、提供虚假发票行为，一经发现，无条件退回，因此引起的所有责任由乙方全权承担。</w:t>
      </w:r>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6、按甲方的要求，乙方应在每月25日向甲方报送下列报表及资料：《项目基本情况和债权债务情况统计表》、《单位工程本月实际完成的实物工程量和建安工作量报表》、《材料消耗汇总表》、《款项支付申请表》，经审计的工程结算资料和同建设单位办理的财务决算资料、机械设备检验报告单、材料入库单和领料单、乙方每月报监理和建设单位的工程款审批表等建设行政主管部门和企业所需的各种报表、资料。</w:t>
      </w:r>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7、工程进度款的支付：</w:t>
      </w:r>
    </w:p>
    <w:p>
      <w:pPr>
        <w:spacing w:line="400" w:lineRule="exact"/>
        <w:ind w:firstLine="480" w:firstLineChars="200"/>
        <w:rPr>
          <w:rFonts w:ascii="楷体_GB2312" w:hAnsi="宋体" w:eastAsia="楷体_GB2312"/>
          <w:color w:val="FF0000"/>
          <w:sz w:val="24"/>
        </w:rPr>
      </w:pPr>
      <w:r>
        <w:rPr>
          <w:rFonts w:hint="eastAsia" w:ascii="楷体_GB2312" w:hAnsi="宋体" w:eastAsia="楷体_GB2312"/>
          <w:sz w:val="24"/>
        </w:rPr>
        <w:t>1）本工程的工程款必须先汇入甲方账户，在甲方扣除管理费、各种押（保证金）金、建造师</w:t>
      </w:r>
      <w:r>
        <w:rPr>
          <w:rFonts w:ascii="楷体_GB2312" w:hAnsi="宋体" w:eastAsia="楷体_GB2312"/>
          <w:sz w:val="24"/>
        </w:rPr>
        <w:t>证件使用费</w:t>
      </w:r>
      <w:r>
        <w:rPr>
          <w:rFonts w:hint="eastAsia" w:ascii="楷体_GB2312" w:hAnsi="宋体" w:eastAsia="楷体_GB2312"/>
          <w:sz w:val="24"/>
        </w:rPr>
        <w:t>、建设单位和甲方代付的各种款项以及其它乙方根据本协议应承担罚款的各项费用后，</w:t>
      </w:r>
      <w:r>
        <w:rPr>
          <w:rFonts w:ascii="楷体_GB2312" w:hAnsi="宋体" w:eastAsia="楷体_GB2312"/>
          <w:sz w:val="24"/>
        </w:rPr>
        <w:t>5</w:t>
      </w:r>
      <w:r>
        <w:rPr>
          <w:rFonts w:hint="eastAsia" w:ascii="楷体_GB2312" w:hAnsi="宋体" w:eastAsia="楷体_GB2312"/>
          <w:sz w:val="24"/>
        </w:rPr>
        <w:t>个工作日内再转入</w:t>
      </w:r>
      <w:r>
        <w:rPr>
          <w:rFonts w:hint="eastAsia" w:ascii="楷体_GB2312" w:hAnsi="宋体" w:eastAsia="楷体_GB2312"/>
          <w:color w:val="FF0000"/>
          <w:sz w:val="24"/>
        </w:rPr>
        <w:t>乙方提供</w:t>
      </w:r>
      <w:r>
        <w:rPr>
          <w:rFonts w:ascii="楷体_GB2312" w:hAnsi="宋体" w:eastAsia="楷体_GB2312"/>
          <w:color w:val="FF0000"/>
          <w:sz w:val="24"/>
        </w:rPr>
        <w:t>的材料及</w:t>
      </w:r>
      <w:r>
        <w:rPr>
          <w:rFonts w:hint="eastAsia" w:ascii="楷体_GB2312" w:hAnsi="宋体" w:eastAsia="楷体_GB2312"/>
          <w:color w:val="FF0000"/>
          <w:sz w:val="24"/>
        </w:rPr>
        <w:t>劳务</w:t>
      </w:r>
      <w:r>
        <w:rPr>
          <w:rFonts w:ascii="楷体_GB2312" w:hAnsi="宋体" w:eastAsia="楷体_GB2312"/>
          <w:color w:val="FF0000"/>
          <w:sz w:val="24"/>
        </w:rPr>
        <w:t>等</w:t>
      </w:r>
      <w:r>
        <w:rPr>
          <w:rFonts w:hint="eastAsia" w:ascii="楷体_GB2312" w:hAnsi="宋体" w:eastAsia="楷体_GB2312"/>
          <w:color w:val="FF0000"/>
          <w:sz w:val="24"/>
        </w:rPr>
        <w:t>增值税专用</w:t>
      </w:r>
      <w:r>
        <w:rPr>
          <w:rFonts w:ascii="楷体_GB2312" w:hAnsi="宋体" w:eastAsia="楷体_GB2312"/>
          <w:color w:val="FF0000"/>
          <w:sz w:val="24"/>
        </w:rPr>
        <w:t>发票抬头的账户</w:t>
      </w:r>
      <w:r>
        <w:rPr>
          <w:rFonts w:hint="eastAsia" w:ascii="楷体_GB2312" w:hAnsi="宋体" w:eastAsia="楷体_GB2312"/>
          <w:color w:val="FF0000"/>
          <w:sz w:val="24"/>
        </w:rPr>
        <w:t>。</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严禁乙方及工程项目部在建设单位处直接收款或借款，否则甲方按发生金额的10%给予乙方经济罚款，如发生2次（含2次）以上，甲方可单独终止合同，同时甲方保留追究乙方法律责任及经济赔偿责任。</w:t>
      </w:r>
    </w:p>
    <w:p>
      <w:pPr>
        <w:spacing w:line="400" w:lineRule="exact"/>
        <w:ind w:firstLine="480" w:firstLineChars="200"/>
        <w:rPr>
          <w:rFonts w:hint="eastAsia" w:ascii="楷体_GB2312" w:hAnsi="宋体" w:eastAsia="楷体_GB2312"/>
          <w:color w:val="FF0000"/>
          <w:sz w:val="24"/>
        </w:rPr>
      </w:pPr>
      <w:r>
        <w:rPr>
          <w:rFonts w:hint="eastAsia" w:ascii="楷体_GB2312" w:hAnsi="宋体" w:eastAsia="楷体_GB2312"/>
          <w:color w:val="FF0000"/>
          <w:sz w:val="24"/>
        </w:rPr>
        <w:t>2）乙方应按照甲方的财务要求，提供相应的请款材料，甲方在5个工作日内完成审核，乙方请款材料审核通过的，甲方需尽快向乙方支付相应款项至相应账户（若请款材料审核通过之日甲方仍未收到建设单位付款的，则甲方向乙方的付款期限应为甲方实际收取款项之日）；若乙方请款材料存在问题，甲方应在5个工作日内以书面形式一次性通知乙方应补齐的所有材料，乙方提交补齐的材料后甲方应尽快向乙方支付相应款项；若乙方提交的请款材料后5个工作日甲方未提出异议的，视为甲方已审核通过该请款材料。</w:t>
      </w:r>
    </w:p>
    <w:p>
      <w:pPr>
        <w:spacing w:line="400" w:lineRule="exact"/>
        <w:ind w:firstLine="480" w:firstLineChars="200"/>
        <w:rPr>
          <w:rFonts w:hint="eastAsia" w:ascii="楷体_GB2312" w:hAnsi="宋体" w:eastAsia="楷体_GB2312"/>
          <w:sz w:val="24"/>
        </w:rPr>
      </w:pPr>
      <w:r>
        <w:rPr>
          <w:rFonts w:ascii="楷体_GB2312" w:hAnsi="宋体" w:eastAsia="楷体_GB2312"/>
          <w:sz w:val="24"/>
        </w:rPr>
        <w:t>3</w:t>
      </w:r>
      <w:r>
        <w:rPr>
          <w:rFonts w:hint="eastAsia" w:ascii="楷体_GB2312" w:hAnsi="宋体" w:eastAsia="楷体_GB2312"/>
          <w:sz w:val="24"/>
        </w:rPr>
        <w:t>）因乙方原因造成甲方账户被司法机关采取冻结、查封等限制措施的，对汇入甲方账户的工程款，甲方有权暂停支付给乙方，乙方还应向甲方承担违约责任：即按被冻结、查封数额30%乘以冻结、查封天数计算违约金；超过3天司法机关仍未解除冻结、查封的，甲方有权将冻结、查封工程款（含乙方工程款）向司法机关提供担保等措施。甲方人员在处理相关事宜时所签署的相关文件，乙方均无条件承认并承担全部法律后果，并赔偿由此给甲方造成的全部损失。</w:t>
      </w:r>
    </w:p>
    <w:p>
      <w:pPr>
        <w:spacing w:line="400" w:lineRule="exact"/>
        <w:ind w:firstLine="480" w:firstLineChars="200"/>
        <w:rPr>
          <w:rFonts w:ascii="楷体_GB2312" w:hAnsi="宋体" w:eastAsia="楷体_GB2312"/>
          <w:color w:val="FF0000"/>
          <w:sz w:val="24"/>
        </w:rPr>
      </w:pPr>
      <w:r>
        <w:rPr>
          <w:rFonts w:ascii="楷体_GB2312" w:hAnsi="宋体" w:eastAsia="楷体_GB2312"/>
          <w:sz w:val="24"/>
        </w:rPr>
        <w:t>4</w:t>
      </w:r>
      <w:r>
        <w:rPr>
          <w:rFonts w:hint="eastAsia" w:ascii="楷体_GB2312" w:hAnsi="宋体" w:eastAsia="楷体_GB2312"/>
          <w:sz w:val="24"/>
        </w:rPr>
        <w:t>）乙方承诺：对本工程项目的工程款专款专用，不侵占、不挪用，并对工程项目部使用工程进度款进行科学、严格的监管，确保工程进度款及时用于本工程支付材料款、人工费、施工机械使用费等费用。</w:t>
      </w:r>
      <w:r>
        <w:rPr>
          <w:rFonts w:hint="eastAsia" w:ascii="楷体_GB2312" w:hAnsi="宋体" w:eastAsia="楷体_GB2312"/>
          <w:color w:val="FF0000"/>
          <w:sz w:val="24"/>
        </w:rPr>
        <w:t>乙方</w:t>
      </w:r>
      <w:r>
        <w:rPr>
          <w:rFonts w:ascii="楷体_GB2312" w:hAnsi="宋体" w:eastAsia="楷体_GB2312"/>
          <w:color w:val="FF0000"/>
          <w:sz w:val="24"/>
        </w:rPr>
        <w:t>擅自挪用工程进度款的，甲方有权在下一期中支付暂停支付与乙方挪用数额相等的工程款。</w:t>
      </w:r>
    </w:p>
    <w:p>
      <w:pPr>
        <w:spacing w:line="400" w:lineRule="exact"/>
        <w:ind w:firstLine="480" w:firstLineChars="200"/>
        <w:rPr>
          <w:rFonts w:hint="eastAsia" w:ascii="楷体_GB2312" w:hAnsi="宋体" w:eastAsia="楷体_GB2312"/>
          <w:sz w:val="24"/>
        </w:rPr>
      </w:pPr>
      <w:r>
        <w:rPr>
          <w:rFonts w:ascii="楷体_GB2312" w:hAnsi="宋体" w:eastAsia="楷体_GB2312"/>
          <w:sz w:val="24"/>
        </w:rPr>
        <w:t>5</w:t>
      </w:r>
      <w:r>
        <w:rPr>
          <w:rFonts w:hint="eastAsia" w:ascii="楷体_GB2312" w:hAnsi="宋体" w:eastAsia="楷体_GB2312"/>
          <w:sz w:val="24"/>
        </w:rPr>
        <w:t>）乙方在申请收取当期工程款用于支付工程项目的材料款、人工费、水、电费、机械及周转材料租赁费和设备购置费等时，除提供工程项目人工费结算清单、各班组和管理人员的工资表、钢材、水泥、砂石、商品砼、模板等材料原始单据和材料入库验收单，预付款的收款收据、水电费和设备及周转材料租赁部分发票等外，还应提供前一期已支付的材料款、人工费、施工机械使用费等费用相关凭证，给甲方派驻的会计（或甲方总公司财务部）审核，在确认工程款没有存在被挪用、占用后，再由甲方签字并加盖财务专用章后，方可支付款项。</w:t>
      </w:r>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6）甲方按乙方和建设行政管理部门的要求及派驻乙方的所有人员的工资、差旅费、福利待遇、来回甲方的差旅费、办公费用和食宿等所有费用，均由乙方承担；乙方聘用的所有人员的上述工资、社保等费用由乙方承担。</w:t>
      </w:r>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7）乙方向业主交纳的合同履约保证金的返还由乙方自行负责。由此产生的一切后果（含法律诉讼），由乙方自行承担，甲方可提供必要的协助，但不承担任何经济责任。</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8）本工程进度款，乙方应专款专用，不得挪作他用。由于建设单位未按合同约定拨付工程款或未按合同约定及时拨付工程进度款，或因乙方管理不善等原因，造成建设单位拒付工程进度款，乙方应积极筹集资金，确保足额按时发放农民工工资，确保施工顺利进行，确保工程如期完成或满足甲方提出的工期要求。本工程中甲方不提供任何形式的工程款担保手续，均由乙方自行解决。</w:t>
      </w:r>
    </w:p>
    <w:p>
      <w:pPr>
        <w:spacing w:line="400" w:lineRule="exact"/>
        <w:ind w:firstLine="482" w:firstLineChars="200"/>
        <w:rPr>
          <w:rFonts w:ascii="楷体_GB2312" w:eastAsia="楷体_GB2312"/>
          <w:b/>
          <w:sz w:val="24"/>
        </w:rPr>
      </w:pPr>
      <w:r>
        <w:rPr>
          <w:rFonts w:hint="eastAsia" w:ascii="楷体_GB2312" w:hAnsi="宋体" w:eastAsia="楷体_GB2312"/>
          <w:b/>
          <w:sz w:val="24"/>
        </w:rPr>
        <w:t>七、甲方对乙方的管理要求</w:t>
      </w:r>
    </w:p>
    <w:p>
      <w:pPr>
        <w:spacing w:before="156" w:beforeLines="50" w:line="400" w:lineRule="exact"/>
        <w:ind w:firstLine="480" w:firstLineChars="200"/>
        <w:outlineLvl w:val="0"/>
        <w:rPr>
          <w:rFonts w:ascii="楷体_GB2312" w:eastAsia="楷体_GB2312"/>
          <w:sz w:val="24"/>
        </w:rPr>
      </w:pPr>
      <w:r>
        <w:rPr>
          <w:rFonts w:hint="eastAsia" w:ascii="楷体_GB2312" w:hAnsi="宋体" w:eastAsia="楷体_GB2312"/>
          <w:sz w:val="24"/>
        </w:rPr>
        <w:t>（一）项目管理人员配备的要求</w:t>
      </w:r>
    </w:p>
    <w:p>
      <w:pPr>
        <w:spacing w:before="156" w:beforeLines="50" w:line="400" w:lineRule="exact"/>
        <w:ind w:firstLine="480" w:firstLineChars="200"/>
        <w:outlineLvl w:val="0"/>
        <w:rPr>
          <w:rFonts w:ascii="楷体_GB2312" w:eastAsia="楷体_GB2312"/>
          <w:sz w:val="24"/>
        </w:rPr>
      </w:pPr>
      <w:r>
        <w:rPr>
          <w:rFonts w:hint="eastAsia" w:ascii="楷体_GB2312" w:hAnsi="宋体" w:eastAsia="楷体_GB2312"/>
          <w:sz w:val="24"/>
        </w:rPr>
        <w:t>项目开工前，乙方必须按工程总包合同要求组建符合要求的项目部管理班子人员（包括但不限于项目经理、技术负责人、质量主任、安全主任、施工员、安全员、资料员等），并报甲方审核批准后方能开工。项目</w:t>
      </w:r>
      <w:r>
        <w:rPr>
          <w:rFonts w:ascii="楷体_GB2312" w:hAnsi="宋体" w:eastAsia="楷体_GB2312"/>
          <w:sz w:val="24"/>
        </w:rPr>
        <w:t>部</w:t>
      </w:r>
      <w:r>
        <w:rPr>
          <w:rFonts w:hint="eastAsia" w:ascii="楷体_GB2312" w:hAnsi="宋体" w:eastAsia="楷体_GB2312"/>
          <w:sz w:val="24"/>
        </w:rPr>
        <w:t>人员的配置优先由乙方负责提供，如果乙方无法配置符合的岗位人员，可要求甲方提供人员，人员工资由乙方全面负责，工资待遇由甲乙双方另行商议。</w:t>
      </w:r>
    </w:p>
    <w:p>
      <w:pPr>
        <w:spacing w:before="156" w:beforeLines="50" w:line="400" w:lineRule="exact"/>
        <w:ind w:firstLine="480" w:firstLineChars="200"/>
        <w:outlineLvl w:val="0"/>
        <w:rPr>
          <w:rFonts w:ascii="楷体_GB2312" w:eastAsia="楷体_GB2312"/>
          <w:sz w:val="24"/>
        </w:rPr>
      </w:pPr>
      <w:r>
        <w:rPr>
          <w:rFonts w:hint="eastAsia" w:ascii="楷体_GB2312" w:hAnsi="宋体" w:eastAsia="楷体_GB2312"/>
          <w:sz w:val="24"/>
        </w:rPr>
        <w:t>（二）技术质量管理的要求</w:t>
      </w:r>
    </w:p>
    <w:p>
      <w:pPr>
        <w:spacing w:before="156" w:beforeLines="50" w:line="400" w:lineRule="exact"/>
        <w:ind w:firstLine="480" w:firstLineChars="200"/>
        <w:outlineLvl w:val="0"/>
        <w:rPr>
          <w:rFonts w:ascii="楷体_GB2312" w:eastAsia="楷体_GB2312"/>
          <w:sz w:val="24"/>
        </w:rPr>
      </w:pPr>
      <w:r>
        <w:rPr>
          <w:rFonts w:hint="eastAsia" w:ascii="楷体_GB2312" w:hAnsi="宋体" w:eastAsia="楷体_GB2312"/>
          <w:sz w:val="24"/>
        </w:rPr>
        <w:t>1、项目开工前，乙方必须在一周内编制好项目施工平面布置图，并报甲方工程管理部审核审批，甲方的审核期限为一个工作日；甲方延期审批的视为同意乙方的申报。</w:t>
      </w:r>
    </w:p>
    <w:p>
      <w:pPr>
        <w:spacing w:before="156" w:beforeLines="50" w:line="400" w:lineRule="exact"/>
        <w:ind w:firstLine="480" w:firstLineChars="200"/>
        <w:outlineLvl w:val="0"/>
        <w:rPr>
          <w:rFonts w:ascii="楷体_GB2312" w:eastAsia="楷体_GB2312"/>
          <w:sz w:val="24"/>
        </w:rPr>
      </w:pPr>
      <w:r>
        <w:rPr>
          <w:rFonts w:hint="eastAsia" w:ascii="楷体_GB2312" w:hAnsi="宋体" w:eastAsia="楷体_GB2312"/>
          <w:sz w:val="24"/>
        </w:rPr>
        <w:t>2、执行方案审核审批制度和方案先行制度，乙方在施工前必须按照相关要求提前编制好各施工方案，乙方编制的方案必须报甲方审批，甲方在三个工作日内审批完成，提出修改意见，乙方根据甲方审批要求进行完善。</w:t>
      </w:r>
    </w:p>
    <w:p>
      <w:pPr>
        <w:spacing w:before="156" w:beforeLines="50" w:line="400" w:lineRule="exact"/>
        <w:ind w:firstLine="480" w:firstLineChars="200"/>
        <w:outlineLvl w:val="0"/>
        <w:rPr>
          <w:rFonts w:ascii="楷体_GB2312" w:eastAsia="楷体_GB2312"/>
          <w:sz w:val="24"/>
        </w:rPr>
      </w:pPr>
      <w:r>
        <w:rPr>
          <w:rFonts w:hint="eastAsia" w:ascii="楷体_GB2312" w:hAnsi="宋体" w:eastAsia="楷体_GB2312"/>
          <w:sz w:val="24"/>
        </w:rPr>
        <w:t>3、实行样板先行制度。乙方须按要求做好各工序的样板，样板给相关方验收合格后方可组织施工且施工时须按照样板组织施工。</w:t>
      </w:r>
    </w:p>
    <w:p>
      <w:pPr>
        <w:spacing w:before="156" w:beforeLines="50" w:line="400" w:lineRule="exact"/>
        <w:ind w:firstLine="480" w:firstLineChars="200"/>
        <w:outlineLvl w:val="0"/>
        <w:rPr>
          <w:rFonts w:ascii="楷体_GB2312" w:eastAsia="楷体_GB2312"/>
          <w:sz w:val="24"/>
        </w:rPr>
      </w:pPr>
      <w:r>
        <w:rPr>
          <w:rFonts w:hint="eastAsia" w:ascii="楷体_GB2312" w:hAnsi="宋体" w:eastAsia="楷体_GB2312"/>
          <w:sz w:val="24"/>
        </w:rPr>
        <w:t>4、乙方必须执行施工技术交底制度。每一工序施工前，安排项目部管理人员对作业班进行施工技术交底。</w:t>
      </w:r>
    </w:p>
    <w:p>
      <w:pPr>
        <w:spacing w:before="156" w:beforeLines="50" w:line="400" w:lineRule="exact"/>
        <w:ind w:firstLine="480" w:firstLineChars="200"/>
        <w:outlineLvl w:val="0"/>
        <w:rPr>
          <w:rFonts w:ascii="楷体_GB2312" w:eastAsia="楷体_GB2312"/>
          <w:sz w:val="24"/>
        </w:rPr>
      </w:pPr>
      <w:r>
        <w:rPr>
          <w:rFonts w:hint="eastAsia" w:ascii="楷体_GB2312" w:hAnsi="宋体" w:eastAsia="楷体_GB2312"/>
          <w:sz w:val="24"/>
        </w:rPr>
        <w:t>5、工程施工技术管理资料要与施工进度同步收集整理好。并同时备送一份到甲方留存。</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（三）安全管理的要求</w:t>
      </w:r>
    </w:p>
    <w:p>
      <w:pPr>
        <w:spacing w:before="156" w:beforeLines="50" w:line="400" w:lineRule="exact"/>
        <w:ind w:firstLine="480" w:firstLineChars="200"/>
        <w:outlineLvl w:val="0"/>
        <w:rPr>
          <w:rFonts w:ascii="楷体_GB2312" w:eastAsia="楷体_GB2312"/>
          <w:sz w:val="24"/>
        </w:rPr>
      </w:pPr>
      <w:r>
        <w:rPr>
          <w:rFonts w:ascii="楷体_GB2312" w:hAnsi="宋体" w:eastAsia="楷体_GB2312"/>
          <w:sz w:val="24"/>
        </w:rPr>
        <w:t>1、乙方必须</w:t>
      </w:r>
      <w:r>
        <w:rPr>
          <w:rFonts w:hint="eastAsia" w:ascii="楷体_GB2312" w:hAnsi="宋体" w:eastAsia="楷体_GB2312"/>
          <w:sz w:val="24"/>
        </w:rPr>
        <w:t>执行安全生产责任制度、安全周检制度、施工</w:t>
      </w:r>
      <w:r>
        <w:rPr>
          <w:rFonts w:hint="eastAsia" w:ascii="楷体_GB2312" w:hAnsi="宋体" w:eastAsia="楷体_GB2312"/>
          <w:b/>
          <w:color w:val="000000"/>
          <w:kern w:val="1"/>
          <w:sz w:val="24"/>
          <w:lang w:eastAsia="ar-SA"/>
        </w:rPr>
        <w:t>安全技术交底制度</w:t>
      </w:r>
      <w:r>
        <w:rPr>
          <w:rFonts w:hint="eastAsia" w:ascii="楷体_GB2312" w:hAnsi="宋体" w:eastAsia="楷体_GB2312"/>
          <w:sz w:val="24"/>
        </w:rPr>
        <w:t>、三级全教育制度等有关的安全管理制度；</w:t>
      </w:r>
    </w:p>
    <w:p>
      <w:pPr>
        <w:spacing w:before="156" w:beforeLines="50" w:line="400" w:lineRule="exact"/>
        <w:ind w:firstLine="480" w:firstLineChars="200"/>
        <w:outlineLvl w:val="0"/>
        <w:rPr>
          <w:rFonts w:ascii="楷体_GB2312" w:hAnsi="宋体" w:eastAsia="楷体_GB2312"/>
          <w:sz w:val="24"/>
        </w:rPr>
      </w:pPr>
      <w:r>
        <w:rPr>
          <w:rFonts w:ascii="楷体_GB2312" w:hAnsi="宋体" w:eastAsia="楷体_GB2312"/>
          <w:sz w:val="24"/>
        </w:rPr>
        <w:t>2</w:t>
      </w:r>
      <w:r>
        <w:rPr>
          <w:rFonts w:hint="eastAsia" w:ascii="楷体_GB2312" w:hAnsi="宋体" w:eastAsia="楷体_GB2312"/>
          <w:sz w:val="24"/>
        </w:rPr>
        <w:t>、乙方组织施工的现场，确保在每一次接受上级主管部门的安全检查时达到合格的要求。</w:t>
      </w:r>
    </w:p>
    <w:p>
      <w:pPr>
        <w:spacing w:before="156" w:beforeLines="50" w:line="400" w:lineRule="exact"/>
        <w:ind w:firstLine="480" w:firstLineChars="200"/>
        <w:outlineLvl w:val="0"/>
        <w:rPr>
          <w:rFonts w:ascii="楷体_GB2312" w:hAnsi="宋体" w:eastAsia="楷体_GB2312"/>
          <w:sz w:val="24"/>
        </w:rPr>
      </w:pPr>
      <w:r>
        <w:rPr>
          <w:rFonts w:ascii="楷体_GB2312" w:hAnsi="宋体" w:eastAsia="楷体_GB2312"/>
          <w:sz w:val="24"/>
        </w:rPr>
        <w:t>3</w:t>
      </w:r>
      <w:r>
        <w:rPr>
          <w:rFonts w:hint="eastAsia" w:ascii="楷体_GB2312" w:hAnsi="宋体" w:eastAsia="楷体_GB2312"/>
          <w:sz w:val="24"/>
        </w:rPr>
        <w:t>、本项目的安全管理目标：</w:t>
      </w:r>
      <w:r>
        <w:rPr>
          <w:rFonts w:hint="eastAsia" w:ascii="楷体_GB2312" w:hAnsi="宋体" w:eastAsia="楷体_GB2312"/>
          <w:sz w:val="24"/>
          <w:u w:val="single"/>
        </w:rPr>
        <w:t xml:space="preserve"> 合格</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4、施工现场的安全管理和安全防护措施必须符合JGJ59-2011的或</w:t>
      </w:r>
      <w:r>
        <w:rPr>
          <w:rFonts w:hint="eastAsia" w:ascii="楷体_GB2312" w:hAnsi="宋体" w:eastAsia="楷体_GB2312"/>
          <w:sz w:val="24"/>
          <w:u w:val="single"/>
        </w:rPr>
        <w:t xml:space="preserve"> 合格 </w:t>
      </w:r>
      <w:r>
        <w:rPr>
          <w:rFonts w:hint="eastAsia" w:ascii="楷体_GB2312" w:hAnsi="宋体" w:eastAsia="楷体_GB2312"/>
          <w:sz w:val="24"/>
        </w:rPr>
        <w:t>要求。</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5、安全管理资料与施工进度同歩收集整理，确保每次主管部门及公司的检查时资料齐全。</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（四）分包合同管理的要求</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乙方必须将下列合同报甲方审批及备案，同时所有分包合同的分包方（或供应商）必须具有相应的资质，乙方才能将分包内容分包给分包方，不得把专业工程分包给不具备相应资质的分包方。</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1、劳务合同；（项目所有的劳务班组的合同），备案；</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2、机械租赁及安装、拆除合同；备案；</w:t>
      </w:r>
    </w:p>
    <w:p>
      <w:pPr>
        <w:spacing w:before="156" w:beforeLines="50" w:line="400" w:lineRule="exact"/>
        <w:ind w:firstLine="482" w:firstLineChars="200"/>
        <w:outlineLvl w:val="0"/>
        <w:rPr>
          <w:rFonts w:ascii="楷体_GB2312" w:hAnsi="宋体" w:eastAsia="楷体_GB2312"/>
          <w:sz w:val="24"/>
        </w:rPr>
      </w:pPr>
      <w:r>
        <w:rPr>
          <w:rFonts w:hint="eastAsia" w:ascii="楷体_GB2312" w:eastAsia="楷体_GB2312"/>
          <w:b/>
          <w:sz w:val="24"/>
        </w:rPr>
        <w:t>3、大宗材料采购合同，包括但不限于钢筋、混凝土等；备案；</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4、周转材料租赁或采购合同，包括但不限于模板、外架、钢管等；备案；</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5、专业工程分包合同；审批；</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6、其他合同，项目实施过程中实际存在的合同。视情形备案或者审批。</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（五）建筑工程保险管理</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乙方必须按照甲方签订的《施工合同》中规定的要求购买建筑工程各种保险等，如果乙方不按要求购买，将由甲方代为强行购买，所产生的费用全部由乙方承担，甲方可以直接在乙方的工程款中扣除，保险应在开工前购买好。</w:t>
      </w:r>
    </w:p>
    <w:p>
      <w:pPr>
        <w:spacing w:before="156" w:beforeLines="50" w:line="400" w:lineRule="exact"/>
        <w:ind w:firstLine="480" w:firstLineChars="200"/>
        <w:outlineLvl w:val="0"/>
        <w:rPr>
          <w:rFonts w:hint="eastAsia" w:ascii="楷体_GB2312" w:hAnsi="宋体" w:eastAsia="楷体_GB2312"/>
          <w:color w:val="FF0000"/>
          <w:sz w:val="24"/>
        </w:rPr>
      </w:pPr>
      <w:r>
        <w:rPr>
          <w:rFonts w:hint="eastAsia" w:ascii="楷体_GB2312" w:hAnsi="宋体" w:eastAsia="楷体_GB2312"/>
          <w:color w:val="FF0000"/>
          <w:sz w:val="24"/>
        </w:rPr>
        <w:t>乙方必须为从事危险作业的职工办理意外伤害保险，并为施工场地内乙方的自有人员生命财产及施工机械设备办理保险，支付保险费用。应按施工安全规范和采取预防事故的措施，以确保施工安全和第三者安全，乙方负责为所有参与施工人员办理人身意外保险；凡施工中发生的一切安全事故，均由乙方承担所发生事故的依法应该支付的损失赔偿费、抚恤费等法律责任，甲方不承担此责任。乙方投保的保单应报甲方备案。此外</w:t>
      </w:r>
      <w:r>
        <w:rPr>
          <w:rFonts w:ascii="楷体_GB2312" w:hAnsi="宋体" w:eastAsia="楷体_GB2312"/>
          <w:color w:val="FF0000"/>
          <w:sz w:val="24"/>
        </w:rPr>
        <w:t>，</w:t>
      </w:r>
      <w:r>
        <w:rPr>
          <w:rFonts w:hint="eastAsia" w:ascii="楷体_GB2312" w:hAnsi="宋体" w:eastAsia="楷体_GB2312"/>
          <w:color w:val="FF0000"/>
          <w:sz w:val="24"/>
        </w:rPr>
        <w:t>乙方应严格执行《深圳市建筑施工企业参加工伤保险管理办法》（深人社规【2016】3 号）购买工伤保险。</w:t>
      </w:r>
    </w:p>
    <w:p>
      <w:pPr>
        <w:spacing w:before="156" w:beforeLines="50" w:line="400" w:lineRule="exact"/>
        <w:ind w:firstLine="480" w:firstLineChars="200"/>
        <w:outlineLvl w:val="0"/>
        <w:rPr>
          <w:rFonts w:hint="eastAsia" w:ascii="楷体_GB2312" w:hAnsi="宋体" w:eastAsia="楷体_GB2312"/>
          <w:sz w:val="24"/>
        </w:rPr>
      </w:pPr>
      <w:r>
        <w:rPr>
          <w:rFonts w:hint="eastAsia" w:ascii="楷体_GB2312" w:hAnsi="宋体" w:eastAsia="楷体_GB2312"/>
          <w:sz w:val="24"/>
        </w:rPr>
        <w:t>（六）信息化管理</w:t>
      </w:r>
    </w:p>
    <w:p>
      <w:pPr>
        <w:spacing w:before="156" w:beforeLines="50" w:line="400" w:lineRule="exact"/>
        <w:ind w:firstLine="480" w:firstLineChars="200"/>
        <w:outlineLvl w:val="0"/>
        <w:rPr>
          <w:rFonts w:hint="eastAsia" w:ascii="楷体_GB2312" w:hAnsi="宋体" w:eastAsia="楷体_GB2312"/>
          <w:sz w:val="24"/>
        </w:rPr>
      </w:pPr>
      <w:r>
        <w:rPr>
          <w:rFonts w:hint="eastAsia" w:ascii="楷体_GB2312" w:hAnsi="宋体" w:eastAsia="楷体_GB2312"/>
          <w:sz w:val="24"/>
        </w:rPr>
        <w:t>1、乙方需根据深圳市住建局要求做好相关的信息化工程，乙方必须安排工程项目人员配合、完善信息化工作，如乙方未按要求做好信息化工作，甲方根据情况有权对乙方进行相应的处罚，甚至停止支付工程款。</w:t>
      </w:r>
    </w:p>
    <w:p>
      <w:pPr>
        <w:spacing w:before="156" w:beforeLines="50" w:line="400" w:lineRule="exact"/>
        <w:ind w:firstLine="480" w:firstLineChars="200"/>
        <w:outlineLvl w:val="0"/>
        <w:rPr>
          <w:rFonts w:hint="eastAsia" w:ascii="楷体_GB2312" w:hAnsi="宋体" w:eastAsia="楷体_GB2312"/>
          <w:sz w:val="24"/>
        </w:rPr>
      </w:pPr>
      <w:r>
        <w:rPr>
          <w:rFonts w:hint="eastAsia" w:ascii="楷体_GB2312" w:hAnsi="宋体" w:eastAsia="楷体_GB2312"/>
          <w:sz w:val="24"/>
        </w:rPr>
        <w:t>2、乙方必须指定专人参加培训学习，给项目信息员配置网络及电脑，根据要求完善好信息化工作，及时录入信息化日常工作内容。</w:t>
      </w:r>
    </w:p>
    <w:p>
      <w:pPr>
        <w:spacing w:before="156" w:beforeLines="50" w:line="400" w:lineRule="exact"/>
        <w:ind w:firstLine="480" w:firstLineChars="200"/>
        <w:outlineLvl w:val="0"/>
        <w:rPr>
          <w:rFonts w:ascii="楷体_GB2312" w:hAnsi="宋体" w:eastAsia="楷体_GB2312"/>
          <w:sz w:val="24"/>
        </w:rPr>
      </w:pPr>
      <w:r>
        <w:rPr>
          <w:rFonts w:hint="eastAsia" w:ascii="楷体_GB2312" w:hAnsi="宋体" w:eastAsia="楷体_GB2312"/>
          <w:sz w:val="24"/>
        </w:rPr>
        <w:t>3、乙方必须把工程信息化当作一个重要工作来对待，不得随意更换信息员，避免造成信息无法及时录入，甲方根据乙方完成信息化工作的进度，有权对乙方进行相应的处罚，甚至停止支付工程款。</w:t>
      </w:r>
    </w:p>
    <w:p>
      <w:pPr>
        <w:spacing w:before="156" w:beforeLines="50" w:line="400" w:lineRule="exact"/>
        <w:ind w:firstLine="480" w:firstLineChars="200"/>
        <w:outlineLvl w:val="0"/>
        <w:rPr>
          <w:rFonts w:ascii="楷体_GB2312" w:hAnsi="宋体" w:eastAsia="楷体_GB2312"/>
          <w:color w:val="FF0000"/>
          <w:sz w:val="24"/>
        </w:rPr>
      </w:pPr>
      <w:r>
        <w:rPr>
          <w:rFonts w:hint="eastAsia" w:ascii="楷体_GB2312" w:hAnsi="宋体" w:eastAsia="楷体_GB2312"/>
          <w:color w:val="FF0000"/>
          <w:sz w:val="24"/>
        </w:rPr>
        <w:t>（七）两制</w:t>
      </w:r>
      <w:r>
        <w:rPr>
          <w:rFonts w:ascii="楷体_GB2312" w:hAnsi="宋体" w:eastAsia="楷体_GB2312"/>
          <w:color w:val="FF0000"/>
          <w:sz w:val="24"/>
        </w:rPr>
        <w:t>管理</w:t>
      </w:r>
    </w:p>
    <w:p>
      <w:pPr>
        <w:spacing w:before="156" w:beforeLines="50" w:line="400" w:lineRule="exact"/>
        <w:ind w:firstLine="480" w:firstLineChars="200"/>
        <w:outlineLvl w:val="0"/>
        <w:rPr>
          <w:rFonts w:hint="eastAsia" w:ascii="楷体_GB2312" w:hAnsi="宋体" w:eastAsia="楷体_GB2312"/>
          <w:color w:val="FF0000"/>
          <w:sz w:val="24"/>
        </w:rPr>
      </w:pPr>
      <w:r>
        <w:rPr>
          <w:rFonts w:hint="eastAsia" w:ascii="楷体_GB2312" w:hAnsi="宋体" w:eastAsia="楷体_GB2312"/>
          <w:color w:val="FF0000"/>
          <w:sz w:val="24"/>
        </w:rPr>
        <w:t>乙方</w:t>
      </w:r>
      <w:r>
        <w:rPr>
          <w:rFonts w:ascii="楷体_GB2312" w:hAnsi="宋体" w:eastAsia="楷体_GB2312"/>
          <w:color w:val="FF0000"/>
          <w:sz w:val="24"/>
        </w:rPr>
        <w:t>应按照深圳市住房和建设局</w:t>
      </w:r>
      <w:r>
        <w:rPr>
          <w:rFonts w:hint="eastAsia" w:ascii="楷体_GB2312" w:hAnsi="宋体" w:eastAsia="楷体_GB2312"/>
          <w:color w:val="FF0000"/>
          <w:sz w:val="24"/>
        </w:rPr>
        <w:t>2016年12月印发</w:t>
      </w:r>
      <w:r>
        <w:rPr>
          <w:rFonts w:ascii="楷体_GB2312" w:hAnsi="宋体" w:eastAsia="楷体_GB2312"/>
          <w:color w:val="FF0000"/>
          <w:sz w:val="24"/>
        </w:rPr>
        <w:t>的</w:t>
      </w:r>
      <w:r>
        <w:rPr>
          <w:rFonts w:hint="eastAsia" w:ascii="楷体_GB2312" w:hAnsi="宋体" w:eastAsia="楷体_GB2312"/>
          <w:color w:val="FF0000"/>
          <w:sz w:val="24"/>
        </w:rPr>
        <w:t>《关于印发全面治理工程建设领域拖欠劳务工工资问题专项治理行动实施方案的通知（深建市场〔2016〕34号）》全面</w:t>
      </w:r>
      <w:r>
        <w:rPr>
          <w:rFonts w:ascii="楷体_GB2312" w:hAnsi="宋体" w:eastAsia="楷体_GB2312"/>
          <w:color w:val="FF0000"/>
          <w:sz w:val="24"/>
        </w:rPr>
        <w:t>落实</w:t>
      </w:r>
      <w:r>
        <w:rPr>
          <w:rFonts w:hint="eastAsia" w:ascii="楷体_GB2312" w:hAnsi="宋体" w:eastAsia="楷体_GB2312"/>
          <w:color w:val="FF0000"/>
          <w:sz w:val="24"/>
        </w:rPr>
        <w:t>施工</w:t>
      </w:r>
      <w:r>
        <w:rPr>
          <w:rFonts w:ascii="楷体_GB2312" w:hAnsi="宋体" w:eastAsia="楷体_GB2312"/>
          <w:color w:val="FF0000"/>
          <w:sz w:val="24"/>
        </w:rPr>
        <w:t>现场实名制及</w:t>
      </w:r>
      <w:r>
        <w:rPr>
          <w:rFonts w:hint="eastAsia" w:ascii="楷体_GB2312" w:hAnsi="宋体" w:eastAsia="楷体_GB2312"/>
          <w:color w:val="FF0000"/>
          <w:sz w:val="24"/>
        </w:rPr>
        <w:t>分账制（以下简称“两制”）管理工作，严格</w:t>
      </w:r>
      <w:r>
        <w:rPr>
          <w:rFonts w:ascii="楷体_GB2312" w:hAnsi="宋体" w:eastAsia="楷体_GB2312"/>
          <w:color w:val="FF0000"/>
          <w:sz w:val="24"/>
        </w:rPr>
        <w:t>按照</w:t>
      </w:r>
      <w:r>
        <w:rPr>
          <w:rFonts w:hint="eastAsia" w:ascii="楷体_GB2312" w:hAnsi="宋体" w:eastAsia="楷体_GB2312"/>
          <w:color w:val="FF0000"/>
          <w:sz w:val="24"/>
        </w:rPr>
        <w:t>相关</w:t>
      </w:r>
      <w:r>
        <w:rPr>
          <w:rFonts w:ascii="楷体_GB2312" w:hAnsi="宋体" w:eastAsia="楷体_GB2312"/>
          <w:color w:val="FF0000"/>
          <w:sz w:val="24"/>
        </w:rPr>
        <w:t>规定执行</w:t>
      </w:r>
      <w:r>
        <w:rPr>
          <w:rFonts w:hint="eastAsia" w:ascii="楷体_GB2312" w:hAnsi="宋体" w:eastAsia="楷体_GB2312"/>
          <w:color w:val="FF0000"/>
          <w:sz w:val="24"/>
        </w:rPr>
        <w:t>，</w:t>
      </w:r>
      <w:r>
        <w:rPr>
          <w:rFonts w:ascii="楷体_GB2312" w:hAnsi="宋体" w:eastAsia="楷体_GB2312"/>
          <w:color w:val="FF0000"/>
          <w:sz w:val="24"/>
        </w:rPr>
        <w:t>甲方有权对乙方两制管理工作进行监管，甲方监管人员发现乙方未执行的有权要求乙方</w:t>
      </w:r>
      <w:r>
        <w:rPr>
          <w:rFonts w:hint="eastAsia" w:ascii="楷体_GB2312" w:hAnsi="宋体" w:eastAsia="楷体_GB2312"/>
          <w:color w:val="FF0000"/>
          <w:sz w:val="24"/>
        </w:rPr>
        <w:t>限期</w:t>
      </w:r>
      <w:r>
        <w:rPr>
          <w:rFonts w:ascii="楷体_GB2312" w:hAnsi="宋体" w:eastAsia="楷体_GB2312"/>
          <w:color w:val="FF0000"/>
          <w:sz w:val="24"/>
        </w:rPr>
        <w:t>整改，乙方未按期整改的，甲方有权对此进行处罚。若</w:t>
      </w:r>
      <w:r>
        <w:rPr>
          <w:rFonts w:hint="eastAsia" w:ascii="楷体_GB2312" w:hAnsi="宋体" w:eastAsia="楷体_GB2312"/>
          <w:color w:val="FF0000"/>
          <w:sz w:val="24"/>
        </w:rPr>
        <w:t>乙方</w:t>
      </w:r>
      <w:r>
        <w:rPr>
          <w:rFonts w:ascii="楷体_GB2312" w:hAnsi="宋体" w:eastAsia="楷体_GB2312"/>
          <w:color w:val="FF0000"/>
          <w:sz w:val="24"/>
        </w:rPr>
        <w:t>未执行两制管理，致使甲方</w:t>
      </w:r>
      <w:r>
        <w:rPr>
          <w:rFonts w:hint="eastAsia" w:ascii="楷体_GB2312" w:hAnsi="宋体" w:eastAsia="楷体_GB2312"/>
          <w:color w:val="FF0000"/>
          <w:sz w:val="24"/>
        </w:rPr>
        <w:t>被</w:t>
      </w:r>
      <w:r>
        <w:rPr>
          <w:rFonts w:ascii="楷体_GB2312" w:hAnsi="宋体" w:eastAsia="楷体_GB2312"/>
          <w:color w:val="FF0000"/>
          <w:sz w:val="24"/>
        </w:rPr>
        <w:t>建设主管部门处罚或扣分的，乙方承担全部责任</w:t>
      </w:r>
      <w:r>
        <w:rPr>
          <w:rFonts w:hint="eastAsia" w:ascii="楷体_GB2312" w:hAnsi="宋体" w:eastAsia="楷体_GB2312"/>
          <w:color w:val="FF0000"/>
          <w:sz w:val="24"/>
        </w:rPr>
        <w:t>，并支付</w:t>
      </w:r>
      <w:r>
        <w:rPr>
          <w:rFonts w:ascii="楷体_GB2312" w:hAnsi="宋体" w:eastAsia="楷体_GB2312"/>
          <w:color w:val="FF0000"/>
          <w:sz w:val="24"/>
        </w:rPr>
        <w:t>附件</w:t>
      </w:r>
      <w:r>
        <w:rPr>
          <w:rFonts w:hint="eastAsia" w:ascii="楷体_GB2312" w:hAnsi="宋体" w:eastAsia="楷体_GB2312"/>
          <w:color w:val="FF0000"/>
          <w:sz w:val="24"/>
        </w:rPr>
        <w:t>二</w:t>
      </w:r>
      <w:r>
        <w:rPr>
          <w:rFonts w:ascii="楷体_GB2312" w:hAnsi="宋体" w:eastAsia="楷体_GB2312"/>
          <w:color w:val="FF0000"/>
          <w:sz w:val="24"/>
        </w:rPr>
        <w:t>中约定的罚款。</w:t>
      </w:r>
    </w:p>
    <w:p>
      <w:pPr>
        <w:suppressAutoHyphens/>
        <w:spacing w:before="156" w:line="400" w:lineRule="exact"/>
        <w:ind w:firstLine="482"/>
        <w:rPr>
          <w:rFonts w:ascii="楷体_GB2312" w:hAnsi="宋体" w:eastAsia="楷体_GB2312"/>
          <w:b/>
          <w:sz w:val="24"/>
        </w:rPr>
      </w:pPr>
      <w:r>
        <w:rPr>
          <w:rFonts w:hint="eastAsia" w:ascii="楷体_GB2312" w:hAnsi="宋体" w:eastAsia="楷体_GB2312"/>
          <w:b/>
          <w:sz w:val="24"/>
        </w:rPr>
        <w:t>八、甲方的权利和义务</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1、负责与建设单位签订《施工合同》。若甲方委托乙方出面签订《施工合同》，甲方则提供相关资料及授权委托书。</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2、负责审核乙方编制的施工组织设计和方案，参加图纸会审。协助乙方办理开工、中间验收、竣工验收、工程结算、财务决算和工程价款的回收等相关事宜。协助处理与建设行政主管部门、建设单位的关系。</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3、根据《施工合同》及项目报建的要求及乙方的申请向本项目施工现场派驻相关人员，代表甲方全面负责监督检查乙方施工的工程质量、安全和文明施工等工作。</w:t>
      </w:r>
    </w:p>
    <w:p>
      <w:pPr>
        <w:spacing w:line="400" w:lineRule="exact"/>
        <w:ind w:firstLine="480" w:firstLineChars="200"/>
        <w:rPr>
          <w:rFonts w:ascii="楷体_GB2312" w:hAnsi="宋体" w:eastAsia="楷体_GB2312"/>
          <w:kern w:val="1"/>
          <w:sz w:val="24"/>
        </w:rPr>
      </w:pPr>
      <w:r>
        <w:rPr>
          <w:rFonts w:hint="eastAsia" w:ascii="楷体_GB2312" w:hAnsi="宋体" w:eastAsia="楷体_GB2312"/>
          <w:sz w:val="24"/>
        </w:rPr>
        <w:t>4、</w:t>
      </w:r>
      <w:r>
        <w:rPr>
          <w:rFonts w:hint="eastAsia" w:ascii="楷体_GB2312" w:hAnsi="宋体" w:eastAsia="楷体_GB2312"/>
          <w:kern w:val="1"/>
          <w:sz w:val="24"/>
        </w:rPr>
        <w:t>负责为乙方提供公司文明标化及CI管理制度方案。</w:t>
      </w:r>
    </w:p>
    <w:p>
      <w:pPr>
        <w:spacing w:line="400" w:lineRule="exact"/>
        <w:ind w:firstLine="480" w:firstLineChars="200"/>
        <w:rPr>
          <w:rFonts w:ascii="楷体_GB2312" w:hAnsi="宋体" w:eastAsia="楷体_GB2312"/>
          <w:kern w:val="1"/>
          <w:sz w:val="24"/>
        </w:rPr>
      </w:pPr>
      <w:r>
        <w:rPr>
          <w:rFonts w:hint="eastAsia" w:ascii="楷体_GB2312" w:hAnsi="宋体" w:eastAsia="楷体_GB2312"/>
          <w:sz w:val="24"/>
        </w:rPr>
        <w:t>5、</w:t>
      </w:r>
      <w:r>
        <w:rPr>
          <w:rFonts w:hint="eastAsia" w:ascii="楷体_GB2312" w:hAnsi="宋体" w:eastAsia="楷体_GB2312"/>
          <w:kern w:val="1"/>
          <w:sz w:val="24"/>
        </w:rPr>
        <w:t>甲方对本项目实行定期、不定期的月、季度、年度质量、安全等检查（每年不少于4次）；深圳市外的工程因此产生的相关费用（包括但不限于差旅费、食宿费等）全部由乙方负责，在往来的工程款里扣除或由乙方即时按票报销。</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6、甲方为乙方提供“/”印章壹枚，用于工程资料相关文件盖章。印章必须由甲方派驻现场管理人员专门管理。本工程竣工验收合格后，乙方应将该印章交还甲方。乙方承诺该印章仅用于该工程资料相关用途。乙方不得使用该印章对外出具财务手续和债务凭证，若因使用该印章对外出具财务手续或债务凭证所引起的经济纠纷和法律赔偿责任均由乙方承担。</w:t>
      </w:r>
    </w:p>
    <w:p>
      <w:pPr>
        <w:spacing w:before="156" w:beforeLines="50" w:line="400" w:lineRule="exact"/>
        <w:ind w:firstLine="482" w:firstLineChars="200"/>
        <w:outlineLvl w:val="0"/>
        <w:rPr>
          <w:rFonts w:ascii="楷体_GB2312" w:hAnsi="宋体" w:eastAsia="楷体_GB2312"/>
          <w:b/>
          <w:sz w:val="24"/>
        </w:rPr>
      </w:pPr>
      <w:r>
        <w:rPr>
          <w:rFonts w:hint="eastAsia" w:ascii="楷体_GB2312" w:hAnsi="宋体" w:eastAsia="楷体_GB2312"/>
          <w:b/>
          <w:sz w:val="24"/>
        </w:rPr>
        <w:t>九、 乙方的权利和义务</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1、负责工程项目的自主经营，并承担全部经营风险。按时报送甲方管理所需要的各种报表和资料，独立承担工程项目法律责任。</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 xml:space="preserve">2、负责自行聘用员工的岗前、岗位培训，提供满足施工项目要求的人员参加“五大员”证件及各项培训并取得相关培训证件。乙方接甲方相关培训通知后，应无条件组织其管理人员和项目部人员参加，并承担相应费用。 </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3、必须严格按照施工图纸和现行国家有关标准、规范组织施工；遵循国家、省、市统一制定的检查评分标准进行工程评定。在施工过程中要严把工程质量关，遵守建设工程安全生产有关规定，严格按安全标准组织施工，采取必要的安全防护措施，消除事故隐患，确保安全生产、文明施工达到合格标准。承担因工程质量、安全等造成的一切经济和法律责任。</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4、乙方须严格执行公司文明标化及CI管理制度(例如人员着装，按工地提交人数严格按照公司要求定制统一服装，其相关费用乙方负责或在往来工程款中扣除)。</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5、严格遵守国家的法律法规，诚信经营、规范运作，不得转包及不按合同管理要求分包。乙方对经营活动中出现的违法乱纪行为及经济纠纷承担全部责任。</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6、严禁乙方以甲方或工程项目部的名义对外负债，对外提供任何担保、办理贷款、办理个人信用卡和对外签订材料供应合同、劳务分包合同和一切与经济有关的合同，乙方在经营活动中所产生的债权债务经济纠纷均由乙方承担，甲方对此不承担任何经济和法律责任；</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7、乙方应严格执行《中华人民共和国劳动合同法》等有关劳动法律法规的规定，根据《施工合同》及建设单位要求配置合格的项目班组人员，按时支付劳动工人工资、保险费用及材料款等费用，接受甲方的监督管理。</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8、乙方承诺严格遵守甲方制定的各项公司规章制度，服从甲方管理，认真执行甲方各项工作指令，按时提交甲方要求提供各种材料(包括但不限</w:t>
      </w:r>
      <w:r>
        <w:rPr>
          <w:rFonts w:hint="eastAsia" w:ascii="楷体_GB2312" w:hAnsi="宋体" w:eastAsia="楷体_GB2312"/>
          <w:kern w:val="1"/>
          <w:sz w:val="24"/>
        </w:rPr>
        <w:t>于各类生产统计报表、</w:t>
      </w:r>
      <w:r>
        <w:rPr>
          <w:rFonts w:hint="eastAsia" w:ascii="楷体_GB2312" w:hAnsi="宋体" w:eastAsia="楷体_GB2312"/>
          <w:sz w:val="24"/>
        </w:rPr>
        <w:t>财务报表、劳动合同、工资发放表、考</w:t>
      </w:r>
      <w:r>
        <w:rPr>
          <w:rFonts w:hint="eastAsia" w:ascii="楷体_GB2312" w:hAnsi="宋体" w:eastAsia="楷体_GB2312"/>
          <w:kern w:val="1"/>
          <w:sz w:val="24"/>
        </w:rPr>
        <w:t>勤表)</w:t>
      </w:r>
      <w:r>
        <w:rPr>
          <w:rFonts w:hint="eastAsia" w:ascii="楷体_GB2312" w:hAnsi="宋体" w:eastAsia="楷体_GB2312"/>
          <w:sz w:val="24"/>
        </w:rPr>
        <w:t>。</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9、乙方应定期每月向甲方汇报工程项目的债权债务。</w:t>
      </w:r>
    </w:p>
    <w:p>
      <w:pPr>
        <w:spacing w:line="400" w:lineRule="exact"/>
        <w:ind w:firstLine="480" w:firstLineChars="200"/>
        <w:rPr>
          <w:rFonts w:hint="eastAsia" w:ascii="楷体_GB2312" w:hAnsi="宋体" w:eastAsia="楷体_GB2312"/>
          <w:color w:val="FF0000"/>
          <w:sz w:val="24"/>
        </w:rPr>
      </w:pPr>
      <w:r>
        <w:rPr>
          <w:rFonts w:hint="eastAsia" w:ascii="楷体_GB2312" w:hAnsi="宋体" w:eastAsia="楷体_GB2312"/>
          <w:sz w:val="24"/>
        </w:rPr>
        <w:t>10、</w:t>
      </w:r>
      <w:r>
        <w:rPr>
          <w:rFonts w:hint="eastAsia" w:ascii="楷体_GB2312" w:hAnsi="宋体" w:eastAsia="楷体_GB2312"/>
          <w:color w:val="FF0000"/>
          <w:sz w:val="24"/>
        </w:rPr>
        <w:t>负责完成工程项目各类技术档案资料的归档和移交工作，工程竣工验收合格后向甲方提供工程所有相关档案资料原件一份,包括但不限于：（1）合同正副本各一份；（2）中标通知书；（3）开工报告；（4）竣工验收报告；（5）经审计的结算资料；（6）施工许可证；（7）其他相关的技术资料等。若</w:t>
      </w:r>
      <w:r>
        <w:rPr>
          <w:rFonts w:ascii="楷体_GB2312" w:hAnsi="宋体" w:eastAsia="楷体_GB2312"/>
          <w:color w:val="FF0000"/>
          <w:sz w:val="24"/>
        </w:rPr>
        <w:t>工程竣工验收后，乙方未能提供上述资料，甲方有权</w:t>
      </w:r>
      <w:r>
        <w:rPr>
          <w:rFonts w:hint="eastAsia" w:ascii="楷体_GB2312" w:hAnsi="宋体" w:eastAsia="楷体_GB2312"/>
          <w:color w:val="FF0000"/>
          <w:sz w:val="24"/>
        </w:rPr>
        <w:t>扣留</w:t>
      </w:r>
      <w:r>
        <w:rPr>
          <w:rFonts w:ascii="楷体_GB2312" w:hAnsi="宋体" w:eastAsia="楷体_GB2312"/>
          <w:color w:val="FF0000"/>
          <w:sz w:val="24"/>
        </w:rPr>
        <w:t>工程结算款，</w:t>
      </w:r>
      <w:r>
        <w:rPr>
          <w:rFonts w:hint="eastAsia" w:ascii="楷体_GB2312" w:hAnsi="宋体" w:eastAsia="楷体_GB2312"/>
          <w:color w:val="FF0000"/>
          <w:sz w:val="24"/>
        </w:rPr>
        <w:t>乙方</w:t>
      </w:r>
      <w:r>
        <w:rPr>
          <w:rFonts w:ascii="楷体_GB2312" w:hAnsi="宋体" w:eastAsia="楷体_GB2312"/>
          <w:color w:val="FF0000"/>
          <w:sz w:val="24"/>
        </w:rPr>
        <w:t>不得异议。</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甲方在乙方施工的工程项目开工前按合同造价总额的</w:t>
      </w:r>
      <w:r>
        <w:rPr>
          <w:rFonts w:hint="eastAsia" w:ascii="楷体_GB2312" w:hAnsi="宋体" w:eastAsia="楷体_GB2312"/>
          <w:b/>
          <w:sz w:val="24"/>
          <w:u w:val="single"/>
        </w:rPr>
        <w:t xml:space="preserve">  /  ‰</w:t>
      </w:r>
      <w:r>
        <w:rPr>
          <w:rFonts w:hint="eastAsia" w:ascii="楷体_GB2312" w:hAnsi="宋体" w:eastAsia="楷体_GB2312"/>
          <w:sz w:val="24"/>
        </w:rPr>
        <w:t>收取技术档案资料归档保证金，该保证金在乙方将上述所有资料移交给甲方后两个工作日内退给乙方。乙方擅自或纵容他人仿造甲方证照、印章的，除因该行为引起的经济纠纷造成的全部损失由乙方承担外，乙方按10.0万元/次向甲方支付违约金，甲方保留诉请公安机关处理的权利。</w:t>
      </w:r>
    </w:p>
    <w:p>
      <w:pPr>
        <w:spacing w:before="156" w:beforeLines="50" w:line="400" w:lineRule="exact"/>
        <w:ind w:firstLine="482" w:firstLineChars="200"/>
        <w:outlineLvl w:val="0"/>
        <w:rPr>
          <w:rFonts w:ascii="楷体_GB2312" w:hAnsi="宋体" w:eastAsia="楷体_GB2312"/>
          <w:b/>
          <w:sz w:val="24"/>
        </w:rPr>
      </w:pPr>
      <w:r>
        <w:rPr>
          <w:rFonts w:hint="eastAsia" w:ascii="楷体_GB2312" w:hAnsi="宋体" w:eastAsia="楷体_GB2312"/>
          <w:b/>
          <w:sz w:val="24"/>
        </w:rPr>
        <w:t>十、本协议的解除、终止</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1、出现下列情形之一的，甲方有权单方解除本协议，并由乙方承担所有责任，已缴纳的各项管理费、保证金不予退回给乙方，抵扣乙方的违约金，给甲方造成的一切损失均由乙方负责赔偿：</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w:t>
      </w:r>
      <w:r>
        <w:rPr>
          <w:rFonts w:ascii="楷体_GB2312" w:hAnsi="宋体" w:eastAsia="楷体_GB2312"/>
          <w:sz w:val="24"/>
        </w:rPr>
        <w:t>1）在项目经营承包期间违反国家法律、法规、规章和公司有关规定，给甲方造成不良社会影响或经济损失的；</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w:t>
      </w:r>
      <w:r>
        <w:rPr>
          <w:rFonts w:ascii="楷体_GB2312" w:hAnsi="宋体" w:eastAsia="楷体_GB2312"/>
          <w:sz w:val="24"/>
        </w:rPr>
        <w:t>2）不服从甲方企业管理，不履行《项目经营承包合同》，有意逃避承包工程项目债务的；</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w:t>
      </w:r>
      <w:r>
        <w:rPr>
          <w:rFonts w:ascii="楷体_GB2312" w:hAnsi="宋体" w:eastAsia="楷体_GB2312"/>
          <w:sz w:val="24"/>
        </w:rPr>
        <w:t>3）以各种手段套取工程款等任何恶意行为的；</w:t>
      </w:r>
    </w:p>
    <w:p>
      <w:pPr>
        <w:spacing w:line="400" w:lineRule="exact"/>
        <w:ind w:firstLine="480" w:firstLineChars="200"/>
        <w:rPr>
          <w:rFonts w:ascii="楷体_GB2312" w:hAnsi="宋体" w:eastAsia="楷体_GB2312"/>
          <w:sz w:val="24"/>
        </w:rPr>
      </w:pPr>
      <w:r>
        <w:rPr>
          <w:rFonts w:hint="eastAsia" w:ascii="楷体_GB2312" w:hAnsi="宋体" w:eastAsia="楷体_GB2312"/>
          <w:sz w:val="24"/>
        </w:rPr>
        <w:t>（</w:t>
      </w:r>
      <w:r>
        <w:rPr>
          <w:rFonts w:ascii="楷体_GB2312" w:hAnsi="宋体" w:eastAsia="楷体_GB2312"/>
          <w:sz w:val="24"/>
        </w:rPr>
        <w:t>4）因身体健康或其他原因有丧失或者可能丧失履行《项目经营承包合同》能力的。</w:t>
      </w:r>
    </w:p>
    <w:p>
      <w:pPr>
        <w:suppressAutoHyphens/>
        <w:spacing w:line="400" w:lineRule="exact"/>
        <w:ind w:firstLine="480" w:firstLineChars="200"/>
        <w:rPr>
          <w:rFonts w:ascii="楷体_GB2312" w:hAnsi="宋体" w:eastAsia="楷体_GB2312"/>
          <w:sz w:val="24"/>
        </w:rPr>
      </w:pPr>
      <w:r>
        <w:rPr>
          <w:rFonts w:hint="eastAsia" w:ascii="楷体_GB2312" w:hAnsi="宋体" w:eastAsia="楷体_GB2312"/>
          <w:sz w:val="24"/>
        </w:rPr>
        <w:t>2、有下列情形之一，本协议终止：</w:t>
      </w:r>
    </w:p>
    <w:p>
      <w:pPr>
        <w:suppressAutoHyphens/>
        <w:spacing w:line="400" w:lineRule="exact"/>
        <w:ind w:firstLine="480" w:firstLineChars="200"/>
        <w:rPr>
          <w:rFonts w:ascii="楷体_GB2312" w:hAnsi="宋体" w:eastAsia="楷体_GB2312"/>
          <w:sz w:val="24"/>
        </w:rPr>
      </w:pPr>
      <w:r>
        <w:rPr>
          <w:rFonts w:hint="eastAsia" w:ascii="楷体_GB2312" w:hAnsi="宋体" w:eastAsia="楷体_GB2312"/>
          <w:sz w:val="24"/>
        </w:rPr>
        <w:t>⑴ 双方协商一致解除合同的；</w:t>
      </w:r>
    </w:p>
    <w:p>
      <w:pPr>
        <w:suppressAutoHyphens/>
        <w:spacing w:line="400" w:lineRule="exact"/>
        <w:ind w:firstLine="480" w:firstLineChars="200"/>
        <w:rPr>
          <w:rFonts w:ascii="楷体_GB2312" w:hAnsi="宋体" w:eastAsia="楷体_GB2312"/>
          <w:sz w:val="24"/>
        </w:rPr>
      </w:pPr>
      <w:r>
        <w:rPr>
          <w:rFonts w:hint="eastAsia" w:ascii="楷体_GB2312" w:hAnsi="宋体" w:eastAsia="楷体_GB2312"/>
          <w:sz w:val="24"/>
        </w:rPr>
        <w:t>⑵ 《施工合同》无效或被解除、终止的；</w:t>
      </w:r>
    </w:p>
    <w:p>
      <w:pPr>
        <w:suppressAutoHyphens/>
        <w:spacing w:line="400" w:lineRule="exact"/>
        <w:ind w:firstLine="480" w:firstLineChars="200"/>
        <w:rPr>
          <w:rFonts w:ascii="楷体_GB2312" w:hAnsi="宋体" w:eastAsia="楷体_GB2312"/>
          <w:sz w:val="24"/>
        </w:rPr>
      </w:pPr>
      <w:r>
        <w:rPr>
          <w:rFonts w:hint="eastAsia" w:ascii="楷体_GB2312" w:hAnsi="宋体" w:eastAsia="楷体_GB2312"/>
          <w:sz w:val="24"/>
        </w:rPr>
        <w:t>⑶其它法律规定的情形。</w:t>
      </w:r>
    </w:p>
    <w:p>
      <w:pPr>
        <w:suppressAutoHyphens/>
        <w:spacing w:line="400" w:lineRule="exact"/>
        <w:rPr>
          <w:rFonts w:ascii="楷体_GB2312" w:hAnsi="宋体" w:eastAsia="楷体_GB2312"/>
          <w:sz w:val="24"/>
        </w:rPr>
      </w:pPr>
      <w:r>
        <w:rPr>
          <w:rFonts w:ascii="楷体_GB2312" w:hAnsi="宋体" w:eastAsia="楷体_GB2312"/>
          <w:sz w:val="24"/>
        </w:rPr>
        <w:t xml:space="preserve">    3、</w:t>
      </w:r>
      <w:r>
        <w:rPr>
          <w:rFonts w:hint="eastAsia" w:ascii="楷体_GB2312" w:hAnsi="宋体" w:eastAsia="楷体_GB2312"/>
          <w:sz w:val="24"/>
        </w:rPr>
        <w:t>本协议解除、终止时，乙方承接的工程尚未完工的，除非双方另有协议，否则双方仍应继续履行本协议约定的权利义务直至乙方完成该工程施工承包合同约定的全部义务。</w:t>
      </w:r>
    </w:p>
    <w:p>
      <w:pPr>
        <w:suppressAutoHyphens/>
        <w:spacing w:line="400" w:lineRule="exact"/>
        <w:ind w:firstLine="480"/>
        <w:rPr>
          <w:rFonts w:hint="eastAsia" w:ascii="楷体_GB2312" w:hAnsi="宋体" w:eastAsia="楷体_GB2312"/>
          <w:kern w:val="1"/>
          <w:sz w:val="24"/>
        </w:rPr>
      </w:pPr>
      <w:r>
        <w:rPr>
          <w:rFonts w:hint="eastAsia" w:ascii="楷体_GB2312" w:hAnsi="宋体" w:eastAsia="楷体_GB2312"/>
          <w:kern w:val="24"/>
          <w:sz w:val="24"/>
        </w:rPr>
        <w:t>4、</w:t>
      </w:r>
      <w:r>
        <w:rPr>
          <w:rFonts w:hint="eastAsia" w:ascii="楷体_GB2312" w:hAnsi="宋体" w:eastAsia="楷体_GB2312"/>
          <w:kern w:val="1"/>
          <w:sz w:val="24"/>
        </w:rPr>
        <w:t>本协议的解除、终止并不能因此免除一方因违约而承担的违约责任。</w:t>
      </w:r>
    </w:p>
    <w:p>
      <w:pPr>
        <w:suppressAutoHyphens/>
        <w:spacing w:line="400" w:lineRule="exact"/>
        <w:ind w:firstLine="480"/>
        <w:rPr>
          <w:rFonts w:ascii="楷体_GB2312" w:hAnsi="宋体" w:eastAsia="楷体_GB2312"/>
          <w:kern w:val="1"/>
          <w:sz w:val="24"/>
        </w:rPr>
      </w:pPr>
      <w:r>
        <w:rPr>
          <w:rFonts w:hint="eastAsia" w:ascii="楷体_GB2312" w:hAnsi="宋体" w:eastAsia="楷体_GB2312"/>
          <w:kern w:val="1"/>
          <w:sz w:val="24"/>
        </w:rPr>
        <w:t>5、本协议的解除、终止、无效并不能因此免除甲方应当将相应的工程款支付给乙方的义务。</w:t>
      </w:r>
    </w:p>
    <w:p>
      <w:pPr>
        <w:spacing w:before="156" w:beforeLines="50" w:line="400" w:lineRule="exact"/>
        <w:ind w:firstLine="482" w:firstLineChars="200"/>
        <w:outlineLvl w:val="0"/>
        <w:rPr>
          <w:rFonts w:ascii="楷体_GB2312" w:hAnsi="宋体" w:eastAsia="楷体_GB2312"/>
          <w:b/>
          <w:sz w:val="24"/>
        </w:rPr>
      </w:pPr>
      <w:r>
        <w:rPr>
          <w:rFonts w:hint="eastAsia" w:ascii="楷体_GB2312" w:hAnsi="宋体" w:eastAsia="楷体_GB2312"/>
          <w:b/>
          <w:sz w:val="24"/>
        </w:rPr>
        <w:t>十一、其他</w:t>
      </w:r>
    </w:p>
    <w:p>
      <w:pPr>
        <w:suppressAutoHyphens/>
        <w:spacing w:line="400" w:lineRule="exact"/>
        <w:ind w:firstLine="480" w:firstLineChars="200"/>
        <w:rPr>
          <w:rFonts w:ascii="楷体_GB2312" w:hAnsi="宋体" w:eastAsia="楷体_GB2312"/>
          <w:sz w:val="24"/>
        </w:rPr>
      </w:pPr>
      <w:r>
        <w:rPr>
          <w:rFonts w:hint="eastAsia" w:ascii="楷体_GB2312" w:hAnsi="宋体" w:eastAsia="楷体_GB2312"/>
          <w:sz w:val="24"/>
        </w:rPr>
        <w:t>1、除本协议另有</w:t>
      </w:r>
      <w:r>
        <w:rPr>
          <w:rFonts w:hint="eastAsia" w:ascii="楷体_GB2312" w:hAnsi="宋体" w:eastAsia="楷体_GB2312"/>
          <w:kern w:val="1"/>
          <w:sz w:val="24"/>
        </w:rPr>
        <w:t>约定的外</w:t>
      </w:r>
      <w:r>
        <w:rPr>
          <w:rFonts w:hint="eastAsia" w:ascii="楷体_GB2312" w:hAnsi="宋体" w:eastAsia="楷体_GB2312"/>
          <w:sz w:val="24"/>
        </w:rPr>
        <w:t>，</w:t>
      </w:r>
      <w:r>
        <w:rPr>
          <w:rFonts w:hint="eastAsia" w:ascii="楷体_GB2312" w:hAnsi="宋体" w:eastAsia="楷体_GB2312"/>
          <w:kern w:val="1"/>
          <w:sz w:val="24"/>
        </w:rPr>
        <w:t>乙方在履行《施工合同》过程中因违约或违反法律法规政策造成</w:t>
      </w:r>
      <w:r>
        <w:rPr>
          <w:rFonts w:hint="eastAsia" w:ascii="楷体_GB2312" w:hAnsi="宋体" w:eastAsia="楷体_GB2312"/>
          <w:sz w:val="24"/>
        </w:rPr>
        <w:t>甲方</w:t>
      </w:r>
      <w:r>
        <w:rPr>
          <w:rFonts w:hint="eastAsia" w:ascii="楷体_GB2312" w:hAnsi="宋体" w:eastAsia="楷体_GB2312"/>
          <w:kern w:val="1"/>
          <w:sz w:val="24"/>
        </w:rPr>
        <w:t>受到损失的，乙方应承担违约责任，乙方除赔偿</w:t>
      </w:r>
      <w:r>
        <w:rPr>
          <w:rFonts w:hint="eastAsia" w:ascii="楷体_GB2312" w:hAnsi="宋体" w:eastAsia="楷体_GB2312"/>
          <w:sz w:val="24"/>
        </w:rPr>
        <w:t>甲方</w:t>
      </w:r>
      <w:r>
        <w:rPr>
          <w:rFonts w:hint="eastAsia" w:ascii="楷体_GB2312" w:hAnsi="宋体" w:eastAsia="楷体_GB2312"/>
          <w:kern w:val="1"/>
          <w:sz w:val="24"/>
        </w:rPr>
        <w:t>受到全部损失外，还应按甲方所承担的违约金或行政罚金数额的双倍向甲方支付违约金。</w:t>
      </w:r>
    </w:p>
    <w:p>
      <w:pPr>
        <w:suppressAutoHyphens/>
        <w:spacing w:line="400" w:lineRule="exact"/>
        <w:ind w:firstLine="480" w:firstLineChars="200"/>
        <w:rPr>
          <w:rFonts w:ascii="楷体_GB2312" w:hAnsi="宋体" w:eastAsia="楷体_GB2312"/>
          <w:kern w:val="1"/>
          <w:sz w:val="24"/>
        </w:rPr>
      </w:pPr>
      <w:r>
        <w:rPr>
          <w:rFonts w:hint="eastAsia" w:ascii="楷体_GB2312" w:hAnsi="宋体" w:eastAsia="楷体_GB2312"/>
          <w:kern w:val="1"/>
          <w:sz w:val="24"/>
        </w:rPr>
        <w:t>2、本协议所涉及的乙方赔偿甲方的损失或全部损失，包括直接损失和间接损失，其中间接损失包括但不限于甲方在处理相关事宜中支出的费用。本协议所涉及的甲方处理相关纠纷、事宜或接管工程相关管理产生的</w:t>
      </w:r>
      <w:r>
        <w:rPr>
          <w:rFonts w:hint="eastAsia" w:ascii="楷体_GB2312" w:hAnsi="宋体" w:eastAsia="楷体_GB2312"/>
          <w:sz w:val="24"/>
        </w:rPr>
        <w:t>费</w:t>
      </w:r>
      <w:r>
        <w:rPr>
          <w:rFonts w:hint="eastAsia" w:ascii="楷体_GB2312" w:hAnsi="宋体" w:eastAsia="楷体_GB2312"/>
          <w:kern w:val="1"/>
          <w:sz w:val="24"/>
        </w:rPr>
        <w:t>用，包括但不限于诉讼费、律师费、旅差费、人工费、鉴定费、餐饮费、财务费用、支付第三方的费用（如安排其它施工队伍施工产生的工程款）等。</w:t>
      </w:r>
    </w:p>
    <w:p>
      <w:pPr>
        <w:suppressAutoHyphens/>
        <w:spacing w:line="400" w:lineRule="exact"/>
        <w:ind w:firstLine="480" w:firstLineChars="200"/>
        <w:rPr>
          <w:rFonts w:ascii="楷体_GB2312" w:hAnsi="宋体" w:eastAsia="楷体_GB2312"/>
          <w:kern w:val="1"/>
          <w:sz w:val="24"/>
        </w:rPr>
      </w:pPr>
      <w:r>
        <w:rPr>
          <w:rFonts w:hint="eastAsia" w:ascii="楷体_GB2312" w:hAnsi="宋体" w:eastAsia="楷体_GB2312"/>
          <w:kern w:val="1"/>
          <w:sz w:val="24"/>
        </w:rPr>
        <w:t>3、对于乙方因违约而须承担的违约金、赔偿金以及其它根据本协议约定由乙方负担的全部费用及甲方的全部损失，甲方完全有权从工程款（包括乙方以甲方名义承建的任何一个工程项目）、各项保证金中直接扣除，工程款、各项保证金不足的，甲方有权采取留置、变卖乙方财产（包括但不限于房产、机动车辆）等措施继续向乙方追索。</w:t>
      </w:r>
    </w:p>
    <w:p>
      <w:pPr>
        <w:suppressAutoHyphens/>
        <w:spacing w:line="400" w:lineRule="exact"/>
        <w:ind w:firstLine="480" w:firstLineChars="200"/>
        <w:rPr>
          <w:rFonts w:ascii="楷体_GB2312" w:hAnsi="宋体" w:eastAsia="楷体_GB2312"/>
          <w:sz w:val="24"/>
        </w:rPr>
      </w:pPr>
      <w:r>
        <w:rPr>
          <w:rFonts w:hint="eastAsia" w:ascii="楷体_GB2312" w:hAnsi="宋体" w:eastAsia="楷体_GB2312"/>
          <w:sz w:val="24"/>
        </w:rPr>
        <w:t>4、甲方制定的公司规章制度及工作指令构成本协议的组成部分。</w:t>
      </w:r>
    </w:p>
    <w:p>
      <w:pPr>
        <w:suppressAutoHyphens/>
        <w:spacing w:line="400" w:lineRule="exact"/>
        <w:ind w:firstLine="480" w:firstLineChars="200"/>
        <w:rPr>
          <w:rFonts w:ascii="楷体_GB2312" w:hAnsi="宋体" w:eastAsia="楷体_GB2312"/>
          <w:sz w:val="24"/>
          <w:szCs w:val="24"/>
        </w:rPr>
      </w:pPr>
      <w:r>
        <w:rPr>
          <w:rFonts w:hint="eastAsia" w:ascii="楷体_GB2312" w:hAnsi="宋体" w:eastAsia="楷体_GB2312"/>
          <w:kern w:val="1"/>
          <w:sz w:val="24"/>
        </w:rPr>
        <w:t>5、</w:t>
      </w:r>
      <w:r>
        <w:rPr>
          <w:rFonts w:hint="eastAsia" w:ascii="楷体_GB2312" w:hAnsi="宋体" w:eastAsia="楷体_GB2312"/>
          <w:sz w:val="24"/>
          <w:szCs w:val="24"/>
        </w:rPr>
        <w:t>本协议未尽事宜或甲、乙双方在履行本协议过程中发生纠纷，甲、乙双方应友好协商解决。经协商仍无法解决的，双方约定到甲方注册地人民法院提起诉讼。</w:t>
      </w:r>
    </w:p>
    <w:p>
      <w:pPr>
        <w:suppressAutoHyphens/>
        <w:spacing w:line="400" w:lineRule="exact"/>
        <w:ind w:firstLine="480" w:firstLineChars="200"/>
        <w:rPr>
          <w:rFonts w:ascii="楷体_GB2312" w:hAnsi="宋体" w:eastAsia="楷体_GB2312"/>
          <w:sz w:val="24"/>
        </w:rPr>
      </w:pPr>
      <w:r>
        <w:rPr>
          <w:rFonts w:hint="eastAsia" w:ascii="楷体_GB2312" w:hAnsi="宋体" w:eastAsia="楷体_GB2312"/>
          <w:sz w:val="24"/>
        </w:rPr>
        <w:t>6、本协议经甲乙双方代表签字、盖章后生效，至甲、乙双方履行完本协议条款的全部权利和义务后失效。本协议的所有条款由深圳市中浦信</w:t>
      </w:r>
      <w:r>
        <w:rPr>
          <w:rFonts w:ascii="楷体_GB2312" w:hAnsi="宋体" w:eastAsia="楷体_GB2312"/>
          <w:sz w:val="24"/>
        </w:rPr>
        <w:t>实业有限公司</w:t>
      </w:r>
      <w:r>
        <w:rPr>
          <w:rFonts w:hint="eastAsia" w:ascii="楷体_GB2312" w:hAnsi="宋体" w:eastAsia="楷体_GB2312"/>
          <w:sz w:val="24"/>
        </w:rPr>
        <w:t>负责解释。</w:t>
      </w:r>
    </w:p>
    <w:p>
      <w:pPr>
        <w:suppressAutoHyphens/>
        <w:spacing w:after="156" w:afterLines="50" w:line="400" w:lineRule="exact"/>
        <w:ind w:firstLine="480" w:firstLineChars="200"/>
        <w:rPr>
          <w:rFonts w:ascii="楷体_GB2312" w:hAnsi="宋体" w:eastAsia="楷体_GB2312"/>
          <w:sz w:val="24"/>
          <w:szCs w:val="24"/>
        </w:rPr>
      </w:pPr>
      <w:r>
        <w:rPr>
          <w:rFonts w:hint="eastAsia" w:ascii="楷体_GB2312" w:hAnsi="宋体" w:eastAsia="楷体_GB2312"/>
          <w:sz w:val="24"/>
          <w:szCs w:val="24"/>
        </w:rPr>
        <w:t>7、本协议一式一份。</w:t>
      </w:r>
    </w:p>
    <w:p>
      <w:pPr>
        <w:spacing w:line="400" w:lineRule="exact"/>
        <w:ind w:firstLine="482" w:firstLineChars="200"/>
        <w:rPr>
          <w:rFonts w:ascii="楷体_GB2312" w:hAnsi="宋体" w:eastAsia="楷体_GB2312"/>
          <w:b/>
          <w:sz w:val="24"/>
          <w:szCs w:val="24"/>
        </w:rPr>
      </w:pPr>
      <w:r>
        <w:rPr>
          <w:rFonts w:hint="eastAsia" w:ascii="楷体_GB2312" w:hAnsi="宋体" w:eastAsia="楷体_GB2312"/>
          <w:b/>
          <w:sz w:val="24"/>
          <w:szCs w:val="24"/>
        </w:rPr>
        <w:t>附件：乙方营业执照复印件</w:t>
      </w:r>
    </w:p>
    <w:p>
      <w:pPr>
        <w:spacing w:line="400" w:lineRule="exact"/>
        <w:ind w:right="-315"/>
        <w:rPr>
          <w:rFonts w:ascii="楷体_GB2312" w:hAnsi="宋体" w:eastAsia="楷体_GB2312"/>
          <w:sz w:val="24"/>
          <w:u w:val="double"/>
        </w:rPr>
      </w:pPr>
      <w:r>
        <w:rPr>
          <w:rFonts w:hint="eastAsia" w:ascii="楷体_GB2312" w:hAnsi="宋体" w:eastAsia="楷体_GB2312"/>
          <w:sz w:val="24"/>
          <w:u w:val="double"/>
        </w:rPr>
        <w:t xml:space="preserve">以下签约栏                                                                </w:t>
      </w:r>
    </w:p>
    <w:p>
      <w:pPr>
        <w:spacing w:line="400" w:lineRule="exact"/>
        <w:rPr>
          <w:rFonts w:ascii="楷体_GB2312" w:hAnsi="宋体" w:eastAsia="楷体_GB2312"/>
          <w:sz w:val="24"/>
        </w:rPr>
      </w:pPr>
    </w:p>
    <w:p>
      <w:pPr>
        <w:spacing w:line="400" w:lineRule="exact"/>
        <w:rPr>
          <w:rFonts w:ascii="楷体_GB2312" w:hAnsi="宋体" w:eastAsia="楷体_GB2312" w:cs="宋体"/>
          <w:color w:val="000000"/>
          <w:kern w:val="0"/>
          <w:sz w:val="24"/>
          <w:u w:val="single"/>
        </w:rPr>
      </w:pPr>
      <w:r>
        <w:rPr>
          <w:rFonts w:hint="eastAsia" w:ascii="楷体_GB2312" w:hAnsi="宋体" w:eastAsia="楷体_GB2312"/>
          <w:sz w:val="24"/>
        </w:rPr>
        <w:t>甲方：</w:t>
      </w:r>
      <w:r>
        <w:rPr>
          <w:rFonts w:hint="eastAsia" w:ascii="楷体_GB2312" w:hAnsi="宋体" w:eastAsia="楷体_GB2312" w:cs="宋体"/>
          <w:color w:val="000000"/>
          <w:kern w:val="0"/>
          <w:sz w:val="24"/>
          <w:szCs w:val="24"/>
          <w:u w:val="single"/>
        </w:rPr>
        <w:t>深圳市中浦信实业有限公司</w:t>
      </w:r>
      <w:r>
        <w:rPr>
          <w:rFonts w:hint="eastAsia" w:ascii="楷体_GB2312" w:hAnsi="宋体" w:eastAsia="楷体_GB2312" w:cs="宋体"/>
          <w:color w:val="000000"/>
          <w:kern w:val="0"/>
          <w:sz w:val="24"/>
        </w:rPr>
        <w:t xml:space="preserve">              乙方：</w:t>
      </w:r>
    </w:p>
    <w:p>
      <w:pPr>
        <w:spacing w:line="400" w:lineRule="exact"/>
        <w:ind w:left="1440" w:hanging="1440" w:hangingChars="600"/>
        <w:rPr>
          <w:rFonts w:ascii="楷体_GB2312" w:hAnsi="宋体" w:eastAsia="楷体_GB2312" w:cs="宋体"/>
          <w:color w:val="000000"/>
          <w:kern w:val="0"/>
          <w:sz w:val="24"/>
          <w:u w:val="single"/>
        </w:rPr>
      </w:pPr>
      <w:r>
        <w:rPr>
          <w:rFonts w:hint="eastAsia" w:ascii="楷体_GB2312" w:hAnsi="宋体" w:eastAsia="楷体_GB2312" w:cs="宋体"/>
          <w:color w:val="000000"/>
          <w:kern w:val="0"/>
          <w:sz w:val="24"/>
        </w:rPr>
        <w:t>地址：</w:t>
      </w:r>
      <w:r>
        <w:rPr>
          <w:rFonts w:hint="eastAsia" w:ascii="楷体_GB2312" w:hAnsi="宋体" w:eastAsia="楷体_GB2312" w:cs="宋体"/>
          <w:color w:val="000000"/>
          <w:kern w:val="0"/>
          <w:sz w:val="24"/>
          <w:szCs w:val="24"/>
          <w:u w:val="single"/>
        </w:rPr>
        <w:t xml:space="preserve">深圳市龙岗区龙岗街道               </w:t>
      </w:r>
      <w:r>
        <w:rPr>
          <w:rFonts w:ascii="楷体_GB2312" w:hAnsi="宋体" w:eastAsia="楷体_GB2312" w:cs="宋体"/>
          <w:color w:val="000000"/>
          <w:kern w:val="0"/>
          <w:sz w:val="24"/>
          <w:szCs w:val="24"/>
        </w:rPr>
        <w:t xml:space="preserve">   </w:t>
      </w:r>
      <w:r>
        <w:rPr>
          <w:rFonts w:hint="eastAsia" w:ascii="楷体_GB2312" w:hAnsi="宋体" w:eastAsia="楷体_GB2312" w:cs="宋体"/>
          <w:color w:val="000000"/>
          <w:kern w:val="0"/>
          <w:sz w:val="24"/>
        </w:rPr>
        <w:t>地址：</w:t>
      </w:r>
      <w:r>
        <w:rPr>
          <w:rFonts w:hint="eastAsia" w:ascii="楷体_GB2312" w:hAnsi="宋体" w:eastAsia="楷体_GB2312" w:cs="宋体"/>
          <w:color w:val="000000"/>
          <w:kern w:val="0"/>
          <w:sz w:val="24"/>
          <w:u w:val="single"/>
        </w:rPr>
        <w:t xml:space="preserve">                              </w:t>
      </w:r>
    </w:p>
    <w:p>
      <w:pPr>
        <w:spacing w:line="400" w:lineRule="exact"/>
        <w:ind w:firstLine="840" w:firstLineChars="350"/>
        <w:rPr>
          <w:rFonts w:ascii="楷体_GB2312" w:hAnsi="宋体" w:eastAsia="楷体_GB2312"/>
          <w:sz w:val="24"/>
        </w:rPr>
      </w:pPr>
      <w:r>
        <w:rPr>
          <w:rFonts w:hint="eastAsia" w:ascii="楷体_GB2312" w:hAnsi="宋体" w:eastAsia="楷体_GB2312" w:cs="宋体"/>
          <w:color w:val="000000"/>
          <w:kern w:val="0"/>
          <w:sz w:val="24"/>
          <w:szCs w:val="24"/>
          <w:u w:val="single"/>
        </w:rPr>
        <w:t xml:space="preserve">南联社区碧新路2141号401   </w:t>
      </w:r>
    </w:p>
    <w:p>
      <w:pPr>
        <w:spacing w:line="400" w:lineRule="exact"/>
        <w:rPr>
          <w:rFonts w:ascii="楷体_GB2312" w:hAnsi="宋体" w:eastAsia="楷体_GB2312"/>
          <w:sz w:val="24"/>
        </w:rPr>
      </w:pPr>
      <w:r>
        <w:rPr>
          <w:rFonts w:hint="eastAsia" w:ascii="楷体_GB2312" w:hAnsi="宋体" w:eastAsia="楷体_GB2312" w:cs="宋体"/>
          <w:color w:val="000000"/>
          <w:kern w:val="0"/>
          <w:sz w:val="24"/>
        </w:rPr>
        <w:t>法定代表人：                                法定代表人：</w:t>
      </w:r>
    </w:p>
    <w:p>
      <w:pPr>
        <w:spacing w:line="400" w:lineRule="exact"/>
        <w:rPr>
          <w:rFonts w:ascii="楷体_GB2312" w:hAnsi="宋体" w:eastAsia="楷体_GB2312"/>
          <w:sz w:val="24"/>
        </w:rPr>
      </w:pPr>
      <w:r>
        <w:rPr>
          <w:rFonts w:hint="eastAsia" w:ascii="楷体_GB2312" w:hAnsi="宋体" w:eastAsia="楷体_GB2312" w:cs="宋体"/>
          <w:color w:val="000000"/>
          <w:kern w:val="0"/>
          <w:sz w:val="24"/>
        </w:rPr>
        <w:t>或委托代理人：                              或委托代理人：</w:t>
      </w:r>
    </w:p>
    <w:p>
      <w:pPr>
        <w:spacing w:line="400" w:lineRule="exact"/>
        <w:rPr>
          <w:rFonts w:ascii="楷体_GB2312" w:hAnsi="宋体" w:eastAsia="楷体_GB2312"/>
          <w:sz w:val="24"/>
        </w:rPr>
      </w:pPr>
      <w:r>
        <w:rPr>
          <w:rFonts w:hint="eastAsia" w:ascii="楷体_GB2312" w:hAnsi="宋体" w:eastAsia="楷体_GB2312" w:cs="宋体"/>
          <w:color w:val="000000"/>
          <w:kern w:val="0"/>
          <w:sz w:val="24"/>
        </w:rPr>
        <w:t>开户银行：                                  开户银行：</w:t>
      </w:r>
    </w:p>
    <w:p>
      <w:pPr>
        <w:spacing w:line="400" w:lineRule="exact"/>
        <w:rPr>
          <w:rFonts w:ascii="楷体_GB2312" w:hAnsi="宋体" w:eastAsia="楷体_GB2312"/>
          <w:sz w:val="24"/>
        </w:rPr>
      </w:pPr>
      <w:r>
        <w:rPr>
          <w:rFonts w:hint="eastAsia" w:ascii="楷体_GB2312" w:hAnsi="宋体" w:eastAsia="楷体_GB2312" w:cs="宋体"/>
          <w:color w:val="000000"/>
          <w:kern w:val="0"/>
          <w:sz w:val="24"/>
        </w:rPr>
        <w:t>帐号：                                      帐号：</w:t>
      </w:r>
    </w:p>
    <w:p>
      <w:pPr>
        <w:spacing w:line="400" w:lineRule="exact"/>
        <w:rPr>
          <w:rFonts w:ascii="楷体_GB2312" w:hAnsi="宋体" w:eastAsia="楷体_GB2312"/>
          <w:sz w:val="24"/>
        </w:rPr>
      </w:pPr>
      <w:r>
        <w:rPr>
          <w:rFonts w:hint="eastAsia" w:ascii="楷体_GB2312" w:hAnsi="宋体" w:eastAsia="楷体_GB2312" w:cs="宋体"/>
          <w:color w:val="000000"/>
          <w:kern w:val="0"/>
          <w:sz w:val="24"/>
        </w:rPr>
        <w:t>业务经办人：                                业务经办人：</w:t>
      </w:r>
    </w:p>
    <w:p>
      <w:pPr>
        <w:spacing w:line="400" w:lineRule="exact"/>
        <w:rPr>
          <w:rFonts w:ascii="楷体_GB2312" w:hAnsi="宋体" w:eastAsia="楷体_GB2312"/>
          <w:sz w:val="24"/>
        </w:rPr>
      </w:pPr>
      <w:r>
        <w:rPr>
          <w:rFonts w:hint="eastAsia" w:ascii="楷体_GB2312" w:hAnsi="宋体" w:eastAsia="楷体_GB2312" w:cs="宋体"/>
          <w:color w:val="000000"/>
          <w:kern w:val="0"/>
          <w:sz w:val="24"/>
        </w:rPr>
        <w:t>联系电话：                                  联系电话：</w:t>
      </w:r>
    </w:p>
    <w:p>
      <w:pPr>
        <w:spacing w:line="400" w:lineRule="exact"/>
        <w:rPr>
          <w:rFonts w:ascii="楷体_GB2312" w:hAnsi="宋体" w:eastAsia="楷体_GB2312"/>
          <w:sz w:val="24"/>
        </w:rPr>
      </w:pPr>
      <w:r>
        <w:rPr>
          <w:rFonts w:hint="eastAsia" w:ascii="楷体_GB2312" w:hAnsi="宋体" w:eastAsia="楷体_GB2312"/>
          <w:sz w:val="24"/>
        </w:rPr>
        <w:t>签约地点：深圳市龙岗区</w:t>
      </w:r>
    </w:p>
    <w:p>
      <w:pPr>
        <w:spacing w:line="400" w:lineRule="exact"/>
        <w:rPr>
          <w:rFonts w:hint="eastAsia" w:ascii="楷体_GB2312" w:hAnsi="宋体" w:eastAsia="楷体_GB2312"/>
          <w:sz w:val="24"/>
        </w:rPr>
      </w:pPr>
      <w:r>
        <w:rPr>
          <w:rFonts w:hint="eastAsia" w:ascii="楷体_GB2312" w:hAnsi="宋体" w:eastAsia="楷体_GB2312"/>
          <w:sz w:val="24"/>
        </w:rPr>
        <w:t>签约时间：    年     月       日</w:t>
      </w:r>
    </w:p>
    <w:p>
      <w:pPr>
        <w:spacing w:line="400" w:lineRule="exact"/>
        <w:rPr>
          <w:rFonts w:hint="eastAsia" w:ascii="楷体_GB2312" w:hAnsi="宋体" w:eastAsia="楷体_GB2312"/>
          <w:sz w:val="24"/>
        </w:rPr>
      </w:pPr>
    </w:p>
    <w:p>
      <w:pPr>
        <w:spacing w:line="400" w:lineRule="exact"/>
        <w:rPr>
          <w:rFonts w:hint="eastAsia" w:ascii="楷体_GB2312" w:hAnsi="宋体" w:eastAsia="楷体_GB2312"/>
          <w:sz w:val="24"/>
        </w:rPr>
      </w:pPr>
    </w:p>
    <w:p>
      <w:pPr>
        <w:spacing w:line="400" w:lineRule="exact"/>
        <w:rPr>
          <w:rFonts w:hint="eastAsia" w:ascii="楷体_GB2312" w:hAnsi="宋体" w:eastAsia="楷体_GB2312"/>
          <w:sz w:val="24"/>
        </w:rPr>
      </w:pPr>
    </w:p>
    <w:p>
      <w:pPr>
        <w:spacing w:line="400" w:lineRule="exact"/>
        <w:rPr>
          <w:rFonts w:hint="eastAsia" w:ascii="楷体_GB2312" w:hAnsi="宋体" w:eastAsia="楷体_GB2312"/>
          <w:sz w:val="24"/>
        </w:rPr>
      </w:pPr>
    </w:p>
    <w:p>
      <w:pPr>
        <w:spacing w:line="400" w:lineRule="exact"/>
        <w:rPr>
          <w:rFonts w:hint="eastAsia" w:ascii="楷体_GB2312" w:hAnsi="宋体" w:eastAsia="楷体_GB2312"/>
          <w:sz w:val="24"/>
        </w:rPr>
      </w:pPr>
    </w:p>
    <w:p>
      <w:pPr>
        <w:spacing w:line="400" w:lineRule="exact"/>
        <w:rPr>
          <w:rFonts w:hint="eastAsia" w:ascii="楷体_GB2312" w:hAnsi="宋体" w:eastAsia="楷体_GB2312"/>
          <w:sz w:val="24"/>
        </w:rPr>
      </w:pPr>
    </w:p>
    <w:p>
      <w:pPr>
        <w:spacing w:line="400" w:lineRule="exact"/>
        <w:rPr>
          <w:rFonts w:hint="eastAsia" w:ascii="楷体_GB2312" w:hAnsi="宋体" w:eastAsia="楷体_GB2312"/>
          <w:b/>
          <w:sz w:val="28"/>
          <w:szCs w:val="28"/>
        </w:rPr>
      </w:pPr>
    </w:p>
    <w:p>
      <w:pPr>
        <w:spacing w:line="400" w:lineRule="exact"/>
        <w:rPr>
          <w:rFonts w:ascii="楷体_GB2312" w:hAnsi="宋体" w:eastAsia="楷体_GB2312"/>
          <w:b/>
          <w:sz w:val="28"/>
          <w:szCs w:val="28"/>
        </w:rPr>
      </w:pPr>
      <w:r>
        <w:rPr>
          <w:rFonts w:hint="eastAsia" w:ascii="楷体_GB2312" w:hAnsi="宋体" w:eastAsia="楷体_GB2312"/>
          <w:b/>
          <w:sz w:val="28"/>
          <w:szCs w:val="28"/>
        </w:rPr>
        <w:t>附件一</w:t>
      </w:r>
    </w:p>
    <w:p>
      <w:pPr>
        <w:spacing w:line="400" w:lineRule="exact"/>
        <w:rPr>
          <w:rFonts w:ascii="楷体_GB2312" w:hAnsi="宋体" w:eastAsia="楷体_GB2312"/>
          <w:sz w:val="24"/>
        </w:rPr>
      </w:pPr>
      <w:r>
        <w:rPr>
          <w:rFonts w:hint="eastAsia" w:ascii="楷体_GB2312" w:hAnsi="宋体" w:eastAsia="楷体_GB2312"/>
          <w:b/>
          <w:sz w:val="24"/>
        </w:rPr>
        <w:t>甲方派驻相关人员的收费标准表</w:t>
      </w:r>
      <w:r>
        <w:rPr>
          <w:rFonts w:hint="eastAsia" w:ascii="楷体_GB2312" w:hAnsi="宋体" w:eastAsia="楷体_GB2312"/>
          <w:sz w:val="24"/>
        </w:rPr>
        <w:t>：</w:t>
      </w:r>
    </w:p>
    <w:tbl>
      <w:tblPr>
        <w:tblStyle w:val="9"/>
        <w:tblW w:w="106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501"/>
        <w:gridCol w:w="2320"/>
        <w:gridCol w:w="1595"/>
        <w:gridCol w:w="1451"/>
        <w:gridCol w:w="15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6" w:hRule="atLeast"/>
        </w:trPr>
        <w:tc>
          <w:tcPr>
            <w:tcW w:w="2235" w:type="dxa"/>
            <w:vMerge w:val="restart"/>
            <w:vAlign w:val="top"/>
          </w:tcPr>
          <w:p>
            <w:pPr>
              <w:spacing w:line="400" w:lineRule="exact"/>
              <w:jc w:val="center"/>
              <w:rPr>
                <w:rFonts w:ascii="楷体_GB2312" w:hAnsi="宋体" w:eastAsia="楷体_GB2312"/>
                <w:b/>
                <w:sz w:val="24"/>
              </w:rPr>
            </w:pPr>
            <w:r>
              <w:rPr>
                <w:rFonts w:hint="eastAsia" w:ascii="楷体_GB2312" w:hAnsi="宋体" w:eastAsia="楷体_GB2312"/>
                <w:b/>
                <w:sz w:val="24"/>
              </w:rPr>
              <w:t>人员</w:t>
            </w:r>
          </w:p>
        </w:tc>
        <w:tc>
          <w:tcPr>
            <w:tcW w:w="1501" w:type="dxa"/>
            <w:vMerge w:val="restart"/>
            <w:vAlign w:val="top"/>
          </w:tcPr>
          <w:p>
            <w:pPr>
              <w:spacing w:line="400" w:lineRule="exact"/>
              <w:jc w:val="center"/>
              <w:rPr>
                <w:rFonts w:ascii="楷体_GB2312" w:hAnsi="宋体" w:eastAsia="楷体_GB2312"/>
                <w:b/>
                <w:sz w:val="24"/>
              </w:rPr>
            </w:pPr>
            <w:r>
              <w:rPr>
                <w:rFonts w:hint="eastAsia" w:ascii="楷体_GB2312" w:hAnsi="宋体" w:eastAsia="楷体_GB2312"/>
                <w:b/>
                <w:sz w:val="24"/>
              </w:rPr>
              <w:t>工资标准</w:t>
            </w:r>
          </w:p>
          <w:p>
            <w:pPr>
              <w:spacing w:line="400" w:lineRule="exact"/>
              <w:jc w:val="center"/>
              <w:rPr>
                <w:rFonts w:ascii="楷体_GB2312" w:hAnsi="宋体" w:eastAsia="楷体_GB2312"/>
                <w:b/>
                <w:sz w:val="24"/>
              </w:rPr>
            </w:pPr>
            <w:r>
              <w:rPr>
                <w:rFonts w:hint="eastAsia" w:ascii="楷体_GB2312" w:hAnsi="宋体" w:eastAsia="楷体_GB2312"/>
                <w:b/>
                <w:sz w:val="24"/>
              </w:rPr>
              <w:t>（</w:t>
            </w:r>
            <w:r>
              <w:rPr>
                <w:rFonts w:hint="eastAsia" w:ascii="楷体_GB2312" w:hAnsi="宋体" w:eastAsia="楷体_GB2312"/>
                <w:sz w:val="24"/>
              </w:rPr>
              <w:t>元/人/月</w:t>
            </w:r>
            <w:r>
              <w:rPr>
                <w:rFonts w:hint="eastAsia" w:ascii="楷体_GB2312" w:hAnsi="宋体" w:eastAsia="楷体_GB2312"/>
                <w:b/>
                <w:sz w:val="24"/>
              </w:rPr>
              <w:t>）</w:t>
            </w:r>
          </w:p>
        </w:tc>
        <w:tc>
          <w:tcPr>
            <w:tcW w:w="2320" w:type="dxa"/>
            <w:vMerge w:val="restart"/>
            <w:vAlign w:val="top"/>
          </w:tcPr>
          <w:p>
            <w:pPr>
              <w:spacing w:line="400" w:lineRule="exact"/>
              <w:jc w:val="center"/>
              <w:rPr>
                <w:rFonts w:ascii="楷体_GB2312" w:hAnsi="宋体" w:eastAsia="楷体_GB2312"/>
                <w:b/>
                <w:sz w:val="24"/>
              </w:rPr>
            </w:pPr>
            <w:r>
              <w:rPr>
                <w:rFonts w:hint="eastAsia" w:ascii="楷体_GB2312" w:hAnsi="宋体" w:eastAsia="楷体_GB2312"/>
                <w:b/>
                <w:sz w:val="24"/>
              </w:rPr>
              <w:t>证件使用费标准</w:t>
            </w:r>
          </w:p>
          <w:p>
            <w:pPr>
              <w:spacing w:line="400" w:lineRule="exact"/>
              <w:jc w:val="center"/>
              <w:rPr>
                <w:rFonts w:ascii="楷体_GB2312" w:hAnsi="宋体" w:eastAsia="楷体_GB2312"/>
                <w:b/>
                <w:sz w:val="24"/>
              </w:rPr>
            </w:pPr>
            <w:r>
              <w:rPr>
                <w:rFonts w:hint="eastAsia" w:ascii="楷体_GB2312" w:hAnsi="宋体" w:eastAsia="楷体_GB2312"/>
                <w:sz w:val="24"/>
              </w:rPr>
              <w:t>（元/人/月）</w:t>
            </w:r>
          </w:p>
        </w:tc>
        <w:tc>
          <w:tcPr>
            <w:tcW w:w="4641" w:type="dxa"/>
            <w:gridSpan w:val="3"/>
            <w:vAlign w:val="top"/>
          </w:tcPr>
          <w:p>
            <w:pPr>
              <w:spacing w:line="400" w:lineRule="exact"/>
              <w:jc w:val="center"/>
              <w:rPr>
                <w:rFonts w:ascii="楷体_GB2312" w:hAnsi="宋体" w:eastAsia="楷体_GB2312"/>
                <w:b/>
                <w:sz w:val="24"/>
              </w:rPr>
            </w:pPr>
            <w:r>
              <w:rPr>
                <w:rFonts w:hint="eastAsia" w:ascii="楷体_GB2312" w:hAnsi="宋体" w:eastAsia="楷体_GB2312"/>
                <w:b/>
                <w:sz w:val="24"/>
              </w:rPr>
              <w:t>人员出场费</w:t>
            </w:r>
            <w:r>
              <w:rPr>
                <w:rFonts w:hint="eastAsia" w:ascii="楷体_GB2312" w:hAnsi="宋体" w:eastAsia="楷体_GB2312"/>
                <w:sz w:val="24"/>
              </w:rPr>
              <w:t>（元/人/次）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8" w:hRule="atLeast"/>
        </w:trPr>
        <w:tc>
          <w:tcPr>
            <w:tcW w:w="2235" w:type="dxa"/>
            <w:vMerge w:val="continue"/>
            <w:vAlign w:val="top"/>
          </w:tcPr>
          <w:p>
            <w:pPr>
              <w:spacing w:line="400" w:lineRule="exact"/>
              <w:jc w:val="center"/>
              <w:rPr>
                <w:rFonts w:ascii="楷体_GB2312" w:hAnsi="宋体" w:eastAsia="楷体_GB2312"/>
                <w:b/>
                <w:bCs/>
                <w:sz w:val="24"/>
                <w:szCs w:val="44"/>
              </w:rPr>
            </w:pPr>
          </w:p>
        </w:tc>
        <w:tc>
          <w:tcPr>
            <w:tcW w:w="1501" w:type="dxa"/>
            <w:vMerge w:val="continue"/>
            <w:vAlign w:val="top"/>
          </w:tcPr>
          <w:p>
            <w:pPr>
              <w:spacing w:line="400" w:lineRule="exact"/>
              <w:jc w:val="center"/>
              <w:rPr>
                <w:rFonts w:ascii="楷体_GB2312" w:hAnsi="宋体" w:eastAsia="楷体_GB2312"/>
                <w:b/>
                <w:bCs/>
                <w:sz w:val="24"/>
                <w:szCs w:val="44"/>
              </w:rPr>
            </w:pPr>
          </w:p>
        </w:tc>
        <w:tc>
          <w:tcPr>
            <w:tcW w:w="2320" w:type="dxa"/>
            <w:vMerge w:val="continue"/>
            <w:vAlign w:val="top"/>
          </w:tcPr>
          <w:p>
            <w:pPr>
              <w:spacing w:line="400" w:lineRule="exact"/>
              <w:jc w:val="center"/>
              <w:rPr>
                <w:rFonts w:ascii="楷体_GB2312" w:hAnsi="宋体" w:eastAsia="楷体_GB2312"/>
                <w:b/>
                <w:bCs/>
                <w:sz w:val="24"/>
                <w:szCs w:val="44"/>
              </w:rPr>
            </w:pPr>
          </w:p>
        </w:tc>
        <w:tc>
          <w:tcPr>
            <w:tcW w:w="1595" w:type="dxa"/>
            <w:tcBorders>
              <w:right w:val="single" w:color="auto" w:sz="4" w:space="0"/>
            </w:tcBorders>
            <w:vAlign w:val="top"/>
          </w:tcPr>
          <w:p>
            <w:pPr>
              <w:spacing w:line="400" w:lineRule="exact"/>
              <w:jc w:val="center"/>
              <w:rPr>
                <w:rFonts w:ascii="楷体_GB2312" w:hAnsi="宋体" w:eastAsia="楷体_GB2312"/>
                <w:b/>
                <w:spacing w:val="6"/>
                <w:sz w:val="24"/>
              </w:rPr>
            </w:pPr>
            <w:r>
              <w:rPr>
                <w:rFonts w:hint="eastAsia" w:ascii="楷体_GB2312" w:hAnsi="宋体" w:eastAsia="楷体_GB2312"/>
                <w:b/>
                <w:sz w:val="24"/>
              </w:rPr>
              <w:t>市内</w:t>
            </w:r>
          </w:p>
        </w:tc>
        <w:tc>
          <w:tcPr>
            <w:tcW w:w="1451" w:type="dxa"/>
            <w:tcBorders>
              <w:left w:val="single" w:color="auto" w:sz="4" w:space="0"/>
              <w:right w:val="single" w:color="auto" w:sz="4" w:space="0"/>
            </w:tcBorders>
            <w:vAlign w:val="top"/>
          </w:tcPr>
          <w:p>
            <w:pPr>
              <w:spacing w:line="400" w:lineRule="exact"/>
              <w:jc w:val="center"/>
              <w:rPr>
                <w:rFonts w:ascii="楷体_GB2312" w:hAnsi="宋体" w:eastAsia="楷体_GB2312"/>
                <w:b/>
                <w:spacing w:val="6"/>
                <w:sz w:val="24"/>
              </w:rPr>
            </w:pPr>
            <w:r>
              <w:rPr>
                <w:rFonts w:hint="eastAsia" w:ascii="楷体_GB2312" w:hAnsi="宋体" w:eastAsia="楷体_GB2312"/>
                <w:b/>
                <w:sz w:val="24"/>
              </w:rPr>
              <w:t>省内</w:t>
            </w:r>
          </w:p>
        </w:tc>
        <w:tc>
          <w:tcPr>
            <w:tcW w:w="1595" w:type="dxa"/>
            <w:tcBorders>
              <w:left w:val="single" w:color="auto" w:sz="4" w:space="0"/>
            </w:tcBorders>
            <w:vAlign w:val="top"/>
          </w:tcPr>
          <w:p>
            <w:pPr>
              <w:spacing w:line="400" w:lineRule="exact"/>
              <w:jc w:val="center"/>
              <w:rPr>
                <w:rFonts w:ascii="楷体_GB2312" w:hAnsi="宋体" w:eastAsia="楷体_GB2312"/>
                <w:b/>
                <w:spacing w:val="6"/>
                <w:sz w:val="24"/>
              </w:rPr>
            </w:pPr>
            <w:r>
              <w:rPr>
                <w:rFonts w:hint="eastAsia" w:ascii="楷体_GB2312" w:hAnsi="宋体" w:eastAsia="楷体_GB2312"/>
                <w:b/>
                <w:sz w:val="24"/>
              </w:rPr>
              <w:t>跨省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7" w:hRule="atLeast"/>
        </w:trPr>
        <w:tc>
          <w:tcPr>
            <w:tcW w:w="2235" w:type="dxa"/>
            <w:vAlign w:val="center"/>
          </w:tcPr>
          <w:p>
            <w:pPr>
              <w:spacing w:line="360" w:lineRule="auto"/>
              <w:jc w:val="center"/>
              <w:rPr>
                <w:rFonts w:ascii="楷体_GB2312" w:hAnsi="宋体" w:eastAsia="楷体_GB2312"/>
                <w:sz w:val="24"/>
              </w:rPr>
            </w:pPr>
            <w:r>
              <w:rPr>
                <w:rFonts w:hint="eastAsia" w:ascii="楷体_GB2312" w:hAnsi="宋体" w:eastAsia="楷体_GB2312"/>
                <w:sz w:val="24"/>
              </w:rPr>
              <w:t>二级建造师（）</w:t>
            </w:r>
          </w:p>
        </w:tc>
        <w:tc>
          <w:tcPr>
            <w:tcW w:w="1501" w:type="dxa"/>
            <w:vAlign w:val="center"/>
          </w:tcPr>
          <w:p>
            <w:pPr>
              <w:spacing w:line="360" w:lineRule="auto"/>
              <w:rPr>
                <w:rFonts w:hint="eastAsia" w:ascii="楷体_GB2312" w:hAnsi="宋体" w:eastAsia="楷体_GB2312"/>
                <w:sz w:val="24"/>
              </w:rPr>
            </w:pPr>
          </w:p>
        </w:tc>
        <w:tc>
          <w:tcPr>
            <w:tcW w:w="2320" w:type="dxa"/>
            <w:vAlign w:val="center"/>
          </w:tcPr>
          <w:p>
            <w:pPr>
              <w:spacing w:line="360" w:lineRule="auto"/>
              <w:jc w:val="center"/>
              <w:rPr>
                <w:rFonts w:ascii="楷体_GB2312" w:hAnsi="宋体" w:eastAsia="楷体_GB2312"/>
                <w:sz w:val="24"/>
              </w:rPr>
            </w:pPr>
            <w:r>
              <w:rPr>
                <w:rFonts w:ascii="楷体_GB2312" w:hAnsi="宋体" w:eastAsia="楷体_GB2312"/>
                <w:sz w:val="24"/>
              </w:rPr>
              <w:t xml:space="preserve">   </w:t>
            </w:r>
          </w:p>
        </w:tc>
        <w:tc>
          <w:tcPr>
            <w:tcW w:w="1595" w:type="dxa"/>
            <w:tcBorders>
              <w:right w:val="single" w:color="auto" w:sz="4" w:space="0"/>
            </w:tcBorders>
            <w:vAlign w:val="center"/>
          </w:tcPr>
          <w:p>
            <w:pPr>
              <w:spacing w:line="360" w:lineRule="auto"/>
              <w:jc w:val="center"/>
              <w:rPr>
                <w:rFonts w:hint="eastAsia" w:ascii="楷体_GB2312" w:hAnsi="宋体" w:eastAsia="楷体_GB2312"/>
                <w:sz w:val="24"/>
              </w:rPr>
            </w:pPr>
          </w:p>
        </w:tc>
        <w:tc>
          <w:tcPr>
            <w:tcW w:w="1451" w:type="dxa"/>
            <w:tcBorders>
              <w:right w:val="single" w:color="auto" w:sz="4" w:space="0"/>
            </w:tcBorders>
            <w:vAlign w:val="center"/>
          </w:tcPr>
          <w:p>
            <w:pPr>
              <w:ind w:firstLine="240" w:firstLineChars="100"/>
              <w:rPr>
                <w:rFonts w:ascii="楷体_GB2312" w:hAnsi="宋体" w:eastAsia="楷体_GB2312"/>
                <w:sz w:val="24"/>
              </w:rPr>
            </w:pPr>
          </w:p>
        </w:tc>
        <w:tc>
          <w:tcPr>
            <w:tcW w:w="1595" w:type="dxa"/>
            <w:tcBorders>
              <w:left w:val="single" w:color="auto" w:sz="4" w:space="0"/>
            </w:tcBorders>
            <w:vAlign w:val="center"/>
          </w:tcPr>
          <w:p>
            <w:pPr>
              <w:spacing w:line="360" w:lineRule="auto"/>
              <w:jc w:val="center"/>
              <w:rPr>
                <w:rFonts w:ascii="楷体_GB2312" w:hAnsi="宋体" w:eastAsia="楷体_GB2312"/>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51" w:hRule="atLeast"/>
        </w:trPr>
        <w:tc>
          <w:tcPr>
            <w:tcW w:w="2235" w:type="dxa"/>
            <w:vAlign w:val="center"/>
          </w:tcPr>
          <w:p>
            <w:pPr>
              <w:spacing w:line="360" w:lineRule="auto"/>
              <w:jc w:val="center"/>
              <w:rPr>
                <w:rFonts w:hint="eastAsia" w:ascii="楷体_GB2312" w:hAnsi="宋体" w:eastAsia="楷体_GB2312"/>
                <w:sz w:val="24"/>
              </w:rPr>
            </w:pPr>
            <w:r>
              <w:rPr>
                <w:rFonts w:hint="eastAsia" w:ascii="楷体_GB2312" w:hAnsi="宋体" w:eastAsia="楷体_GB2312"/>
                <w:sz w:val="24"/>
              </w:rPr>
              <w:t>技术负责人（）</w:t>
            </w:r>
          </w:p>
        </w:tc>
        <w:tc>
          <w:tcPr>
            <w:tcW w:w="1501" w:type="dxa"/>
            <w:vAlign w:val="center"/>
          </w:tcPr>
          <w:p>
            <w:pPr>
              <w:spacing w:line="360" w:lineRule="auto"/>
              <w:jc w:val="center"/>
              <w:rPr>
                <w:rFonts w:hint="eastAsia" w:ascii="楷体_GB2312" w:hAnsi="宋体" w:eastAsia="楷体_GB2312"/>
                <w:sz w:val="24"/>
              </w:rPr>
            </w:pPr>
          </w:p>
        </w:tc>
        <w:tc>
          <w:tcPr>
            <w:tcW w:w="2320" w:type="dxa"/>
            <w:vAlign w:val="center"/>
          </w:tcPr>
          <w:p>
            <w:pPr>
              <w:spacing w:line="360" w:lineRule="auto"/>
              <w:jc w:val="center"/>
              <w:rPr>
                <w:rFonts w:hint="eastAsia" w:ascii="楷体_GB2312" w:hAnsi="宋体" w:eastAsia="楷体_GB2312"/>
                <w:sz w:val="24"/>
              </w:rPr>
            </w:pPr>
          </w:p>
        </w:tc>
        <w:tc>
          <w:tcPr>
            <w:tcW w:w="1595" w:type="dxa"/>
            <w:tcBorders>
              <w:right w:val="single" w:color="auto" w:sz="4" w:space="0"/>
            </w:tcBorders>
            <w:vAlign w:val="center"/>
          </w:tcPr>
          <w:p>
            <w:pPr>
              <w:spacing w:line="360" w:lineRule="auto"/>
              <w:jc w:val="center"/>
              <w:rPr>
                <w:rFonts w:hint="eastAsia" w:ascii="楷体_GB2312" w:hAnsi="宋体" w:eastAsia="楷体_GB2312"/>
                <w:sz w:val="24"/>
              </w:rPr>
            </w:pPr>
          </w:p>
        </w:tc>
        <w:tc>
          <w:tcPr>
            <w:tcW w:w="1451" w:type="dxa"/>
            <w:tcBorders>
              <w:right w:val="single" w:color="auto" w:sz="4" w:space="0"/>
            </w:tcBorders>
            <w:vAlign w:val="center"/>
          </w:tcPr>
          <w:p>
            <w:pPr>
              <w:spacing w:line="360" w:lineRule="auto"/>
              <w:jc w:val="center"/>
              <w:rPr>
                <w:rFonts w:ascii="楷体_GB2312" w:hAnsi="宋体" w:eastAsia="楷体_GB2312"/>
                <w:sz w:val="24"/>
              </w:rPr>
            </w:pPr>
          </w:p>
        </w:tc>
        <w:tc>
          <w:tcPr>
            <w:tcW w:w="1595" w:type="dxa"/>
            <w:tcBorders>
              <w:left w:val="single" w:color="auto" w:sz="4" w:space="0"/>
            </w:tcBorders>
            <w:vAlign w:val="center"/>
          </w:tcPr>
          <w:p>
            <w:pPr>
              <w:spacing w:line="360" w:lineRule="auto"/>
              <w:jc w:val="center"/>
              <w:rPr>
                <w:rFonts w:ascii="楷体_GB2312" w:hAnsi="宋体" w:eastAsia="楷体_GB2312"/>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0" w:hRule="atLeast"/>
        </w:trPr>
        <w:tc>
          <w:tcPr>
            <w:tcW w:w="2235" w:type="dxa"/>
            <w:vAlign w:val="center"/>
          </w:tcPr>
          <w:p>
            <w:pPr>
              <w:spacing w:line="360" w:lineRule="auto"/>
              <w:jc w:val="center"/>
              <w:rPr>
                <w:rFonts w:hint="eastAsia" w:ascii="楷体_GB2312" w:hAnsi="宋体" w:eastAsia="楷体_GB2312"/>
                <w:sz w:val="24"/>
              </w:rPr>
            </w:pPr>
            <w:r>
              <w:rPr>
                <w:rFonts w:hint="eastAsia" w:ascii="楷体_GB2312" w:hAnsi="宋体" w:eastAsia="楷体_GB2312"/>
                <w:sz w:val="24"/>
              </w:rPr>
              <w:t>安全主任（）</w:t>
            </w:r>
          </w:p>
        </w:tc>
        <w:tc>
          <w:tcPr>
            <w:tcW w:w="1501" w:type="dxa"/>
            <w:vAlign w:val="center"/>
          </w:tcPr>
          <w:p>
            <w:pPr>
              <w:spacing w:line="360" w:lineRule="auto"/>
              <w:jc w:val="center"/>
              <w:rPr>
                <w:rFonts w:hint="eastAsia" w:ascii="楷体_GB2312" w:hAnsi="宋体" w:eastAsia="楷体_GB2312"/>
                <w:sz w:val="24"/>
              </w:rPr>
            </w:pPr>
          </w:p>
        </w:tc>
        <w:tc>
          <w:tcPr>
            <w:tcW w:w="2320" w:type="dxa"/>
            <w:vAlign w:val="center"/>
          </w:tcPr>
          <w:p>
            <w:pPr>
              <w:spacing w:line="360" w:lineRule="auto"/>
              <w:jc w:val="center"/>
              <w:rPr>
                <w:rFonts w:hint="eastAsia" w:ascii="楷体_GB2312" w:hAnsi="宋体" w:eastAsia="楷体_GB2312"/>
                <w:sz w:val="24"/>
              </w:rPr>
            </w:pPr>
          </w:p>
        </w:tc>
        <w:tc>
          <w:tcPr>
            <w:tcW w:w="1595" w:type="dxa"/>
            <w:tcBorders>
              <w:right w:val="single" w:color="auto" w:sz="4" w:space="0"/>
            </w:tcBorders>
            <w:vAlign w:val="center"/>
          </w:tcPr>
          <w:p>
            <w:pPr>
              <w:spacing w:line="360" w:lineRule="auto"/>
              <w:jc w:val="center"/>
              <w:rPr>
                <w:rFonts w:hint="eastAsia" w:ascii="楷体_GB2312" w:hAnsi="宋体" w:eastAsia="楷体_GB2312"/>
                <w:sz w:val="24"/>
              </w:rPr>
            </w:pPr>
          </w:p>
        </w:tc>
        <w:tc>
          <w:tcPr>
            <w:tcW w:w="1451" w:type="dxa"/>
            <w:tcBorders>
              <w:right w:val="single" w:color="auto" w:sz="4" w:space="0"/>
            </w:tcBorders>
            <w:vAlign w:val="center"/>
          </w:tcPr>
          <w:p>
            <w:pPr>
              <w:spacing w:line="360" w:lineRule="auto"/>
              <w:jc w:val="center"/>
              <w:rPr>
                <w:rFonts w:ascii="楷体_GB2312" w:hAnsi="宋体" w:eastAsia="楷体_GB2312"/>
                <w:sz w:val="24"/>
              </w:rPr>
            </w:pPr>
          </w:p>
        </w:tc>
        <w:tc>
          <w:tcPr>
            <w:tcW w:w="1595" w:type="dxa"/>
            <w:tcBorders>
              <w:lef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元/次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0" w:hRule="atLeast"/>
        </w:trPr>
        <w:tc>
          <w:tcPr>
            <w:tcW w:w="2235" w:type="dxa"/>
            <w:vAlign w:val="center"/>
          </w:tcPr>
          <w:p>
            <w:pPr>
              <w:spacing w:line="360" w:lineRule="auto"/>
              <w:jc w:val="center"/>
              <w:rPr>
                <w:rFonts w:hint="eastAsia" w:ascii="楷体_GB2312" w:hAnsi="宋体" w:eastAsia="楷体_GB2312"/>
                <w:sz w:val="24"/>
              </w:rPr>
            </w:pPr>
            <w:r>
              <w:rPr>
                <w:rFonts w:hint="eastAsia" w:ascii="楷体_GB2312" w:hAnsi="宋体" w:eastAsia="楷体_GB2312"/>
                <w:sz w:val="24"/>
              </w:rPr>
              <w:t>质量主任（）</w:t>
            </w:r>
          </w:p>
        </w:tc>
        <w:tc>
          <w:tcPr>
            <w:tcW w:w="1501" w:type="dxa"/>
            <w:vAlign w:val="center"/>
          </w:tcPr>
          <w:p>
            <w:pPr>
              <w:spacing w:line="360" w:lineRule="auto"/>
              <w:jc w:val="center"/>
              <w:rPr>
                <w:rFonts w:hint="eastAsia" w:ascii="楷体_GB2312" w:hAnsi="宋体" w:eastAsia="楷体_GB2312"/>
                <w:sz w:val="24"/>
              </w:rPr>
            </w:pPr>
          </w:p>
        </w:tc>
        <w:tc>
          <w:tcPr>
            <w:tcW w:w="2320" w:type="dxa"/>
            <w:vAlign w:val="center"/>
          </w:tcPr>
          <w:p>
            <w:pPr>
              <w:spacing w:line="360" w:lineRule="auto"/>
              <w:jc w:val="center"/>
              <w:rPr>
                <w:rFonts w:hint="eastAsia" w:ascii="楷体_GB2312" w:hAnsi="宋体" w:eastAsia="楷体_GB2312"/>
                <w:sz w:val="24"/>
              </w:rPr>
            </w:pPr>
          </w:p>
        </w:tc>
        <w:tc>
          <w:tcPr>
            <w:tcW w:w="1595" w:type="dxa"/>
            <w:tcBorders>
              <w:right w:val="single" w:color="auto" w:sz="4" w:space="0"/>
            </w:tcBorders>
            <w:vAlign w:val="center"/>
          </w:tcPr>
          <w:p>
            <w:pPr>
              <w:spacing w:line="360" w:lineRule="auto"/>
              <w:jc w:val="center"/>
              <w:rPr>
                <w:rFonts w:ascii="楷体_GB2312" w:hAnsi="宋体" w:eastAsia="楷体_GB2312"/>
                <w:sz w:val="24"/>
              </w:rPr>
            </w:pPr>
          </w:p>
        </w:tc>
        <w:tc>
          <w:tcPr>
            <w:tcW w:w="1451" w:type="dxa"/>
            <w:tcBorders>
              <w:right w:val="single" w:color="auto" w:sz="4" w:space="0"/>
            </w:tcBorders>
            <w:vAlign w:val="center"/>
          </w:tcPr>
          <w:p>
            <w:pPr>
              <w:spacing w:line="360" w:lineRule="auto"/>
              <w:jc w:val="center"/>
              <w:rPr>
                <w:rFonts w:ascii="楷体_GB2312" w:hAnsi="宋体" w:eastAsia="楷体_GB2312"/>
                <w:sz w:val="24"/>
              </w:rPr>
            </w:pPr>
          </w:p>
        </w:tc>
        <w:tc>
          <w:tcPr>
            <w:tcW w:w="1595" w:type="dxa"/>
            <w:tcBorders>
              <w:lef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元/次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0" w:hRule="atLeast"/>
        </w:trPr>
        <w:tc>
          <w:tcPr>
            <w:tcW w:w="2235" w:type="dxa"/>
            <w:vAlign w:val="center"/>
          </w:tcPr>
          <w:p>
            <w:pPr>
              <w:spacing w:line="360" w:lineRule="auto"/>
              <w:jc w:val="center"/>
              <w:rPr>
                <w:rFonts w:hint="eastAsia" w:ascii="楷体_GB2312" w:hAnsi="宋体" w:eastAsia="楷体_GB2312"/>
                <w:sz w:val="24"/>
              </w:rPr>
            </w:pPr>
            <w:r>
              <w:rPr>
                <w:rFonts w:hint="eastAsia" w:ascii="楷体_GB2312" w:hAnsi="宋体" w:eastAsia="楷体_GB2312"/>
                <w:sz w:val="24"/>
              </w:rPr>
              <w:t>安全员（）</w:t>
            </w:r>
          </w:p>
        </w:tc>
        <w:tc>
          <w:tcPr>
            <w:tcW w:w="1501" w:type="dxa"/>
            <w:vAlign w:val="center"/>
          </w:tcPr>
          <w:p>
            <w:pPr>
              <w:spacing w:line="360" w:lineRule="auto"/>
              <w:jc w:val="center"/>
              <w:rPr>
                <w:rFonts w:hint="eastAsia" w:ascii="楷体_GB2312" w:hAnsi="宋体" w:eastAsia="楷体_GB2312"/>
                <w:sz w:val="24"/>
              </w:rPr>
            </w:pPr>
          </w:p>
        </w:tc>
        <w:tc>
          <w:tcPr>
            <w:tcW w:w="2320" w:type="dxa"/>
            <w:vAlign w:val="center"/>
          </w:tcPr>
          <w:p>
            <w:pPr>
              <w:spacing w:line="360" w:lineRule="auto"/>
              <w:jc w:val="center"/>
              <w:rPr>
                <w:rFonts w:ascii="楷体_GB2312" w:hAnsi="宋体" w:eastAsia="楷体_GB2312"/>
                <w:sz w:val="24"/>
              </w:rPr>
            </w:pPr>
          </w:p>
        </w:tc>
        <w:tc>
          <w:tcPr>
            <w:tcW w:w="1595" w:type="dxa"/>
            <w:tcBorders>
              <w:right w:val="single" w:color="auto" w:sz="4" w:space="0"/>
            </w:tcBorders>
            <w:vAlign w:val="top"/>
          </w:tcPr>
          <w:p>
            <w:pPr>
              <w:spacing w:line="360" w:lineRule="auto"/>
              <w:jc w:val="center"/>
              <w:rPr>
                <w:rFonts w:ascii="楷体_GB2312" w:hAnsi="宋体" w:eastAsia="楷体_GB2312"/>
                <w:sz w:val="24"/>
              </w:rPr>
            </w:pPr>
          </w:p>
        </w:tc>
        <w:tc>
          <w:tcPr>
            <w:tcW w:w="1451" w:type="dxa"/>
            <w:tcBorders>
              <w:right w:val="single" w:color="auto" w:sz="4" w:space="0"/>
            </w:tcBorders>
            <w:vAlign w:val="top"/>
          </w:tcPr>
          <w:p>
            <w:pPr>
              <w:spacing w:line="360" w:lineRule="auto"/>
              <w:jc w:val="center"/>
              <w:rPr>
                <w:rFonts w:ascii="楷体_GB2312" w:hAnsi="宋体" w:eastAsia="楷体_GB2312"/>
                <w:sz w:val="24"/>
              </w:rPr>
            </w:pPr>
          </w:p>
        </w:tc>
        <w:tc>
          <w:tcPr>
            <w:tcW w:w="1595" w:type="dxa"/>
            <w:tcBorders>
              <w:left w:val="single" w:color="auto" w:sz="4" w:space="0"/>
            </w:tcBorders>
            <w:vAlign w:val="top"/>
          </w:tcPr>
          <w:p>
            <w:pPr>
              <w:spacing w:line="360" w:lineRule="auto"/>
              <w:jc w:val="center"/>
              <w:rPr>
                <w:rFonts w:ascii="楷体_GB2312" w:hAnsi="宋体" w:eastAsia="楷体_GB2312"/>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10697" w:type="dxa"/>
            <w:gridSpan w:val="6"/>
            <w:vAlign w:val="top"/>
          </w:tcPr>
          <w:p>
            <w:pPr>
              <w:spacing w:line="360" w:lineRule="auto"/>
              <w:rPr>
                <w:rFonts w:ascii="楷体_GB2312" w:hAnsi="宋体" w:eastAsia="楷体_GB2312"/>
                <w:sz w:val="24"/>
              </w:rPr>
            </w:pPr>
            <w:r>
              <w:rPr>
                <w:rFonts w:hint="eastAsia" w:ascii="楷体_GB2312" w:hAnsi="宋体" w:eastAsia="楷体_GB2312"/>
                <w:sz w:val="24"/>
              </w:rPr>
              <w:t>具体工资标准按商定价格，证件使用费从中标之日起计，不足一月按一月计算，直至该建造师等证件完全解锁之日为止。</w:t>
            </w:r>
            <w:r>
              <w:rPr>
                <w:rFonts w:hint="eastAsia" w:ascii="楷体_GB2312" w:hAnsi="宋体" w:eastAsia="楷体_GB2312"/>
                <w:color w:val="FF0000"/>
                <w:sz w:val="24"/>
              </w:rPr>
              <w:t>（未锁定</w:t>
            </w:r>
            <w:r>
              <w:rPr>
                <w:rFonts w:ascii="楷体_GB2312" w:hAnsi="宋体" w:eastAsia="楷体_GB2312"/>
                <w:color w:val="FF0000"/>
                <w:sz w:val="24"/>
              </w:rPr>
              <w:t>建造师的无需支付此费用</w:t>
            </w:r>
            <w:r>
              <w:rPr>
                <w:rFonts w:hint="eastAsia" w:ascii="楷体_GB2312" w:hAnsi="宋体" w:eastAsia="楷体_GB2312"/>
                <w:color w:val="FF0000"/>
                <w:sz w:val="24"/>
              </w:rPr>
              <w:t>）</w:t>
            </w:r>
          </w:p>
        </w:tc>
      </w:tr>
    </w:tbl>
    <w:p>
      <w:pPr>
        <w:rPr>
          <w:rFonts w:hint="eastAsia"/>
        </w:rPr>
      </w:pPr>
    </w:p>
    <w:p>
      <w:pPr>
        <w:rPr>
          <w:rFonts w:hint="eastAsia" w:ascii="楷体" w:hAnsi="楷体" w:eastAsia="楷体"/>
          <w:b/>
          <w:sz w:val="28"/>
          <w:szCs w:val="28"/>
          <w:u w:val="single"/>
        </w:rPr>
      </w:pPr>
      <w:r>
        <w:rPr>
          <w:rFonts w:hint="eastAsia" w:ascii="楷体" w:hAnsi="楷体" w:eastAsia="楷体"/>
          <w:b/>
          <w:sz w:val="28"/>
          <w:szCs w:val="28"/>
        </w:rPr>
        <w:t xml:space="preserve">                           乙方法定代表人（或委托代理人）签字：</w:t>
      </w:r>
      <w:r>
        <w:rPr>
          <w:rFonts w:hint="eastAsia" w:ascii="楷体" w:hAnsi="楷体" w:eastAsia="楷体"/>
          <w:b/>
          <w:sz w:val="28"/>
          <w:szCs w:val="28"/>
          <w:u w:val="single"/>
        </w:rPr>
        <w:t xml:space="preserve">            </w:t>
      </w:r>
    </w:p>
    <w:p>
      <w:pPr>
        <w:rPr>
          <w:rFonts w:ascii="楷体" w:hAnsi="楷体" w:eastAsia="楷体"/>
          <w:b/>
          <w:sz w:val="28"/>
          <w:szCs w:val="28"/>
        </w:rPr>
      </w:pPr>
      <w:r>
        <w:rPr>
          <w:rFonts w:hint="eastAsia" w:ascii="楷体" w:hAnsi="楷体" w:eastAsia="楷体"/>
          <w:b/>
          <w:sz w:val="28"/>
          <w:szCs w:val="28"/>
        </w:rPr>
        <w:t>附件二</w:t>
      </w:r>
    </w:p>
    <w:p>
      <w:pPr>
        <w:ind w:firstLine="420"/>
        <w:rPr>
          <w:rFonts w:ascii="楷体_GB2312" w:hAnsi="宋体" w:eastAsia="楷体_GB2312"/>
          <w:b/>
          <w:sz w:val="24"/>
        </w:rPr>
      </w:pPr>
      <w:r>
        <w:rPr>
          <w:rFonts w:hint="eastAsia" w:ascii="楷体_GB2312" w:hAnsi="宋体" w:eastAsia="楷体_GB2312"/>
          <w:b/>
          <w:sz w:val="24"/>
        </w:rPr>
        <w:t>乙方在承包经营项目过程中，若违反相关法律法规、本合同约定的权利义务及甲方公司的管理规定，甲方有权对乙方按以下标准进行处罚罚款：（单位：万元）</w:t>
      </w:r>
    </w:p>
    <w:p>
      <w:pPr>
        <w:ind w:firstLine="420"/>
        <w:rPr>
          <w:rFonts w:ascii="楷体_GB2312" w:hAnsi="宋体" w:eastAsia="楷体_GB2312"/>
          <w:b/>
          <w:sz w:val="24"/>
        </w:rPr>
      </w:pPr>
      <w:r>
        <w:rPr>
          <w:rFonts w:hint="eastAsia" w:ascii="楷体_GB2312" w:hAnsi="宋体" w:eastAsia="楷体_GB2312"/>
          <w:b/>
          <w:sz w:val="24"/>
        </w:rPr>
        <w:t>根据实际扣分情况累计处罚：</w:t>
      </w:r>
    </w:p>
    <w:p>
      <w:pPr>
        <w:ind w:firstLine="420"/>
        <w:rPr>
          <w:rFonts w:ascii="楷体_GB2312" w:hAnsi="宋体" w:eastAsia="楷体_GB2312"/>
          <w:b/>
          <w:sz w:val="24"/>
        </w:rPr>
      </w:pPr>
    </w:p>
    <w:tbl>
      <w:tblPr>
        <w:tblStyle w:val="9"/>
        <w:tblW w:w="1060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5"/>
        <w:gridCol w:w="1075"/>
        <w:gridCol w:w="1165"/>
        <w:gridCol w:w="1137"/>
        <w:gridCol w:w="1150"/>
        <w:gridCol w:w="1200"/>
        <w:gridCol w:w="1163"/>
        <w:gridCol w:w="15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atLeast"/>
        </w:trPr>
        <w:tc>
          <w:tcPr>
            <w:tcW w:w="2205" w:type="dxa"/>
            <w:vMerge w:val="restart"/>
            <w:vAlign w:val="center"/>
          </w:tcPr>
          <w:p>
            <w:pPr>
              <w:spacing w:line="360" w:lineRule="auto"/>
              <w:jc w:val="center"/>
              <w:rPr>
                <w:rFonts w:ascii="楷体_GB2312" w:hAnsi="宋体" w:eastAsia="楷体_GB2312"/>
                <w:b/>
                <w:sz w:val="24"/>
              </w:rPr>
            </w:pPr>
            <w:ins w:id="0" w:author="mac" w:date="2017-05-26T12:19:00Z">
              <w:r>
                <w:rPr>
                  <w:rFonts w:hint="eastAsia" w:ascii="楷体_GB2312" w:hAnsi="宋体" w:eastAsia="楷体_GB2312"/>
                  <w:b/>
                  <w:sz w:val="24"/>
                </w:rPr>
                <w:t>乙方</w:t>
              </w:r>
            </w:ins>
            <w:del w:id="1" w:author="mac" w:date="2017-05-26T12:19:00Z">
              <w:r>
                <w:rPr>
                  <w:rFonts w:hint="eastAsia" w:ascii="楷体_GB2312" w:hAnsi="宋体" w:eastAsia="楷体_GB2312"/>
                  <w:b/>
                  <w:sz w:val="24"/>
                </w:rPr>
                <w:delText>甲方</w:delText>
              </w:r>
            </w:del>
            <w:r>
              <w:rPr>
                <w:rFonts w:hint="eastAsia" w:ascii="楷体_GB2312" w:hAnsi="宋体" w:eastAsia="楷体_GB2312"/>
                <w:b/>
                <w:sz w:val="24"/>
              </w:rPr>
              <w:t>被建设系统/采购系统处罚情况</w:t>
            </w:r>
          </w:p>
        </w:tc>
        <w:tc>
          <w:tcPr>
            <w:tcW w:w="2240" w:type="dxa"/>
            <w:gridSpan w:val="2"/>
            <w:tcBorders>
              <w:bottom w:val="single" w:color="auto" w:sz="4" w:space="0"/>
            </w:tcBorders>
            <w:vAlign w:val="center"/>
          </w:tcPr>
          <w:p>
            <w:pPr>
              <w:spacing w:line="360" w:lineRule="auto"/>
              <w:jc w:val="center"/>
              <w:rPr>
                <w:rFonts w:ascii="楷体_GB2312" w:hAnsi="宋体" w:eastAsia="楷体_GB2312"/>
                <w:b/>
                <w:sz w:val="24"/>
              </w:rPr>
            </w:pPr>
            <w:r>
              <w:rPr>
                <w:rFonts w:hint="eastAsia" w:ascii="楷体_GB2312" w:hAnsi="宋体" w:eastAsia="楷体_GB2312"/>
                <w:b/>
                <w:sz w:val="24"/>
              </w:rPr>
              <w:t>第一次</w:t>
            </w:r>
          </w:p>
        </w:tc>
        <w:tc>
          <w:tcPr>
            <w:tcW w:w="2287" w:type="dxa"/>
            <w:gridSpan w:val="2"/>
            <w:tcBorders>
              <w:bottom w:val="single" w:color="auto" w:sz="4" w:space="0"/>
            </w:tcBorders>
            <w:vAlign w:val="center"/>
          </w:tcPr>
          <w:p>
            <w:pPr>
              <w:spacing w:line="360" w:lineRule="auto"/>
              <w:jc w:val="center"/>
              <w:rPr>
                <w:rFonts w:ascii="楷体_GB2312" w:hAnsi="宋体" w:eastAsia="楷体_GB2312"/>
                <w:b/>
                <w:sz w:val="24"/>
              </w:rPr>
            </w:pPr>
            <w:r>
              <w:rPr>
                <w:rFonts w:hint="eastAsia" w:ascii="楷体_GB2312" w:hAnsi="宋体" w:eastAsia="楷体_GB2312"/>
                <w:b/>
                <w:sz w:val="24"/>
              </w:rPr>
              <w:t>第二次</w:t>
            </w:r>
          </w:p>
        </w:tc>
        <w:tc>
          <w:tcPr>
            <w:tcW w:w="2363" w:type="dxa"/>
            <w:gridSpan w:val="2"/>
            <w:tcBorders>
              <w:bottom w:val="single" w:color="auto" w:sz="4" w:space="0"/>
              <w:right w:val="single" w:color="auto" w:sz="4" w:space="0"/>
            </w:tcBorders>
            <w:vAlign w:val="center"/>
          </w:tcPr>
          <w:p>
            <w:pPr>
              <w:spacing w:line="360" w:lineRule="auto"/>
              <w:jc w:val="center"/>
              <w:rPr>
                <w:rFonts w:ascii="楷体_GB2312" w:hAnsi="宋体" w:eastAsia="楷体_GB2312"/>
                <w:b/>
                <w:sz w:val="24"/>
              </w:rPr>
            </w:pPr>
            <w:r>
              <w:rPr>
                <w:rFonts w:hint="eastAsia" w:ascii="楷体_GB2312" w:hAnsi="宋体" w:eastAsia="楷体_GB2312"/>
                <w:b/>
                <w:sz w:val="24"/>
              </w:rPr>
              <w:t>第三次</w:t>
            </w:r>
          </w:p>
        </w:tc>
        <w:tc>
          <w:tcPr>
            <w:tcW w:w="1512" w:type="dxa"/>
            <w:vMerge w:val="restart"/>
            <w:tcBorders>
              <w:left w:val="single" w:color="auto" w:sz="4" w:space="0"/>
            </w:tcBorders>
            <w:vAlign w:val="center"/>
          </w:tcPr>
          <w:p>
            <w:pPr>
              <w:spacing w:line="360" w:lineRule="auto"/>
              <w:jc w:val="center"/>
              <w:rPr>
                <w:rFonts w:ascii="楷体_GB2312" w:hAnsi="宋体" w:eastAsia="楷体_GB2312"/>
                <w:b/>
                <w:sz w:val="24"/>
              </w:rPr>
            </w:pPr>
            <w:r>
              <w:rPr>
                <w:rFonts w:hint="eastAsia" w:ascii="楷体_GB2312" w:hAnsi="宋体" w:eastAsia="楷体_GB2312"/>
                <w:b/>
                <w:sz w:val="24"/>
              </w:rPr>
              <w:t>第四次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6" w:hRule="atLeast"/>
        </w:trPr>
        <w:tc>
          <w:tcPr>
            <w:tcW w:w="2205" w:type="dxa"/>
            <w:vMerge w:val="continue"/>
            <w:vAlign w:val="center"/>
          </w:tcPr>
          <w:p>
            <w:pPr>
              <w:spacing w:line="360" w:lineRule="auto"/>
              <w:jc w:val="center"/>
              <w:rPr>
                <w:rFonts w:ascii="楷体_GB2312" w:hAnsi="宋体" w:eastAsia="楷体_GB2312"/>
                <w:b/>
                <w:sz w:val="24"/>
              </w:rPr>
            </w:pPr>
          </w:p>
        </w:tc>
        <w:tc>
          <w:tcPr>
            <w:tcW w:w="1075" w:type="dxa"/>
            <w:tcBorders>
              <w:top w:val="single" w:color="auto" w:sz="4" w:space="0"/>
              <w:right w:val="single" w:color="auto" w:sz="4" w:space="0"/>
            </w:tcBorders>
            <w:vAlign w:val="center"/>
          </w:tcPr>
          <w:p>
            <w:pPr>
              <w:spacing w:line="360" w:lineRule="auto"/>
              <w:jc w:val="center"/>
              <w:rPr>
                <w:rFonts w:ascii="楷体_GB2312" w:hAnsi="宋体" w:eastAsia="楷体_GB2312"/>
                <w:b/>
                <w:sz w:val="24"/>
              </w:rPr>
            </w:pPr>
            <w:r>
              <w:rPr>
                <w:rFonts w:hint="eastAsia" w:ascii="楷体_GB2312" w:hAnsi="宋体" w:eastAsia="楷体_GB2312"/>
                <w:b/>
                <w:sz w:val="24"/>
              </w:rPr>
              <w:t>人员</w:t>
            </w:r>
          </w:p>
        </w:tc>
        <w:tc>
          <w:tcPr>
            <w:tcW w:w="1165" w:type="dxa"/>
            <w:tcBorders>
              <w:top w:val="single" w:color="auto" w:sz="4" w:space="0"/>
              <w:left w:val="single" w:color="auto" w:sz="4" w:space="0"/>
            </w:tcBorders>
            <w:vAlign w:val="center"/>
          </w:tcPr>
          <w:p>
            <w:pPr>
              <w:spacing w:line="360" w:lineRule="auto"/>
              <w:jc w:val="center"/>
              <w:rPr>
                <w:rFonts w:ascii="楷体_GB2312" w:hAnsi="宋体" w:eastAsia="楷体_GB2312"/>
                <w:b/>
                <w:sz w:val="24"/>
              </w:rPr>
            </w:pPr>
            <w:r>
              <w:rPr>
                <w:rFonts w:hint="eastAsia" w:ascii="楷体_GB2312" w:hAnsi="宋体" w:eastAsia="楷体_GB2312"/>
                <w:b/>
                <w:sz w:val="24"/>
              </w:rPr>
              <w:t>公司</w:t>
            </w:r>
          </w:p>
        </w:tc>
        <w:tc>
          <w:tcPr>
            <w:tcW w:w="1137" w:type="dxa"/>
            <w:tcBorders>
              <w:top w:val="single" w:color="auto" w:sz="4" w:space="0"/>
              <w:right w:val="single" w:color="auto" w:sz="4" w:space="0"/>
            </w:tcBorders>
            <w:vAlign w:val="center"/>
          </w:tcPr>
          <w:p>
            <w:pPr>
              <w:spacing w:line="360" w:lineRule="auto"/>
              <w:jc w:val="center"/>
              <w:rPr>
                <w:rFonts w:ascii="楷体_GB2312" w:hAnsi="宋体" w:eastAsia="楷体_GB2312"/>
                <w:b/>
                <w:sz w:val="24"/>
              </w:rPr>
            </w:pPr>
            <w:r>
              <w:rPr>
                <w:rFonts w:hint="eastAsia" w:ascii="楷体_GB2312" w:hAnsi="宋体" w:eastAsia="楷体_GB2312"/>
                <w:b/>
                <w:sz w:val="24"/>
              </w:rPr>
              <w:t>人员</w:t>
            </w:r>
          </w:p>
        </w:tc>
        <w:tc>
          <w:tcPr>
            <w:tcW w:w="1150" w:type="dxa"/>
            <w:tcBorders>
              <w:top w:val="single" w:color="auto" w:sz="4" w:space="0"/>
              <w:left w:val="single" w:color="auto" w:sz="4" w:space="0"/>
            </w:tcBorders>
            <w:vAlign w:val="center"/>
          </w:tcPr>
          <w:p>
            <w:pPr>
              <w:spacing w:line="360" w:lineRule="auto"/>
              <w:jc w:val="center"/>
              <w:rPr>
                <w:rFonts w:ascii="楷体_GB2312" w:hAnsi="宋体" w:eastAsia="楷体_GB2312"/>
                <w:b/>
                <w:sz w:val="24"/>
              </w:rPr>
            </w:pPr>
            <w:r>
              <w:rPr>
                <w:rFonts w:hint="eastAsia" w:ascii="楷体_GB2312" w:hAnsi="宋体" w:eastAsia="楷体_GB2312"/>
                <w:b/>
                <w:sz w:val="24"/>
              </w:rPr>
              <w:t>公司</w:t>
            </w:r>
          </w:p>
        </w:tc>
        <w:tc>
          <w:tcPr>
            <w:tcW w:w="1200" w:type="dxa"/>
            <w:tcBorders>
              <w:top w:val="single" w:color="auto" w:sz="4" w:space="0"/>
              <w:right w:val="single" w:color="auto" w:sz="4" w:space="0"/>
            </w:tcBorders>
            <w:vAlign w:val="center"/>
          </w:tcPr>
          <w:p>
            <w:pPr>
              <w:spacing w:line="360" w:lineRule="auto"/>
              <w:jc w:val="center"/>
              <w:rPr>
                <w:rFonts w:ascii="楷体_GB2312" w:hAnsi="宋体" w:eastAsia="楷体_GB2312"/>
                <w:b/>
                <w:sz w:val="24"/>
              </w:rPr>
            </w:pPr>
            <w:r>
              <w:rPr>
                <w:rFonts w:hint="eastAsia" w:ascii="楷体_GB2312" w:hAnsi="宋体" w:eastAsia="楷体_GB2312"/>
                <w:b/>
                <w:sz w:val="24"/>
              </w:rPr>
              <w:t>人员</w:t>
            </w:r>
          </w:p>
        </w:tc>
        <w:tc>
          <w:tcPr>
            <w:tcW w:w="1163" w:type="dxa"/>
            <w:tcBorders>
              <w:top w:val="single" w:color="auto" w:sz="4" w:space="0"/>
              <w:right w:val="single" w:color="auto" w:sz="4" w:space="0"/>
            </w:tcBorders>
            <w:vAlign w:val="center"/>
          </w:tcPr>
          <w:p>
            <w:pPr>
              <w:spacing w:line="360" w:lineRule="auto"/>
              <w:jc w:val="center"/>
              <w:rPr>
                <w:rFonts w:ascii="楷体_GB2312" w:hAnsi="宋体" w:eastAsia="楷体_GB2312"/>
                <w:b/>
                <w:sz w:val="24"/>
              </w:rPr>
            </w:pPr>
            <w:r>
              <w:rPr>
                <w:rFonts w:hint="eastAsia" w:ascii="楷体_GB2312" w:hAnsi="宋体" w:eastAsia="楷体_GB2312"/>
                <w:b/>
                <w:sz w:val="24"/>
              </w:rPr>
              <w:t>公司</w:t>
            </w:r>
          </w:p>
        </w:tc>
        <w:tc>
          <w:tcPr>
            <w:tcW w:w="1512" w:type="dxa"/>
            <w:vMerge w:val="continue"/>
            <w:tcBorders>
              <w:left w:val="single" w:color="auto" w:sz="4" w:space="0"/>
            </w:tcBorders>
            <w:vAlign w:val="center"/>
          </w:tcPr>
          <w:p>
            <w:pPr>
              <w:spacing w:line="360" w:lineRule="auto"/>
              <w:jc w:val="center"/>
              <w:rPr>
                <w:rFonts w:ascii="楷体_GB2312" w:hAnsi="宋体" w:eastAsia="楷体_GB2312"/>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4" w:hRule="atLeast"/>
        </w:trPr>
        <w:tc>
          <w:tcPr>
            <w:tcW w:w="2205" w:type="dxa"/>
            <w:vMerge w:val="restart"/>
            <w:vAlign w:val="center"/>
          </w:tcPr>
          <w:p>
            <w:pPr>
              <w:spacing w:line="360" w:lineRule="auto"/>
              <w:jc w:val="center"/>
              <w:rPr>
                <w:rFonts w:ascii="楷体_GB2312" w:hAnsi="宋体" w:eastAsia="楷体_GB2312"/>
                <w:sz w:val="24"/>
              </w:rPr>
            </w:pPr>
            <w:r>
              <w:rPr>
                <w:rFonts w:hint="eastAsia" w:ascii="楷体_GB2312" w:hAnsi="宋体" w:eastAsia="楷体_GB2312"/>
                <w:sz w:val="24"/>
              </w:rPr>
              <w:t>诚信扣分</w:t>
            </w:r>
          </w:p>
        </w:tc>
        <w:tc>
          <w:tcPr>
            <w:tcW w:w="1075" w:type="dxa"/>
            <w:tcBorders>
              <w:bottom w:val="single" w:color="auto" w:sz="4" w:space="0"/>
              <w:righ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1分</w:t>
            </w:r>
          </w:p>
        </w:tc>
        <w:tc>
          <w:tcPr>
            <w:tcW w:w="1165" w:type="dxa"/>
            <w:tcBorders>
              <w:left w:val="single" w:color="auto" w:sz="4" w:space="0"/>
              <w:bottom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1分</w:t>
            </w:r>
          </w:p>
        </w:tc>
        <w:tc>
          <w:tcPr>
            <w:tcW w:w="1137" w:type="dxa"/>
            <w:tcBorders>
              <w:bottom w:val="single" w:color="auto" w:sz="4" w:space="0"/>
              <w:righ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1分</w:t>
            </w:r>
          </w:p>
        </w:tc>
        <w:tc>
          <w:tcPr>
            <w:tcW w:w="1150" w:type="dxa"/>
            <w:tcBorders>
              <w:left w:val="single" w:color="auto" w:sz="4" w:space="0"/>
              <w:bottom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1分</w:t>
            </w:r>
          </w:p>
        </w:tc>
        <w:tc>
          <w:tcPr>
            <w:tcW w:w="1200" w:type="dxa"/>
            <w:tcBorders>
              <w:bottom w:val="single" w:color="auto" w:sz="4" w:space="0"/>
              <w:righ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1分</w:t>
            </w:r>
          </w:p>
        </w:tc>
        <w:tc>
          <w:tcPr>
            <w:tcW w:w="1163" w:type="dxa"/>
            <w:tcBorders>
              <w:bottom w:val="single" w:color="auto" w:sz="4" w:space="0"/>
              <w:righ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1分</w:t>
            </w:r>
          </w:p>
        </w:tc>
        <w:tc>
          <w:tcPr>
            <w:tcW w:w="1512" w:type="dxa"/>
            <w:vMerge w:val="restart"/>
            <w:tcBorders>
              <w:lef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以此类推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trPr>
        <w:tc>
          <w:tcPr>
            <w:tcW w:w="2205" w:type="dxa"/>
            <w:vMerge w:val="continue"/>
            <w:vAlign w:val="center"/>
          </w:tcPr>
          <w:p>
            <w:pPr>
              <w:spacing w:line="360" w:lineRule="auto"/>
              <w:jc w:val="center"/>
              <w:rPr>
                <w:rFonts w:ascii="楷体_GB2312" w:hAnsi="宋体" w:eastAsia="楷体_GB2312"/>
                <w:sz w:val="24"/>
              </w:rPr>
            </w:pPr>
          </w:p>
        </w:tc>
        <w:tc>
          <w:tcPr>
            <w:tcW w:w="1075" w:type="dxa"/>
            <w:tcBorders>
              <w:top w:val="single" w:color="auto" w:sz="4" w:space="0"/>
              <w:righ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5万/分</w:t>
            </w:r>
          </w:p>
        </w:tc>
        <w:tc>
          <w:tcPr>
            <w:tcW w:w="1165" w:type="dxa"/>
            <w:tcBorders>
              <w:top w:val="single" w:color="auto" w:sz="4" w:space="0"/>
              <w:lef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10万/分</w:t>
            </w:r>
          </w:p>
        </w:tc>
        <w:tc>
          <w:tcPr>
            <w:tcW w:w="1137" w:type="dxa"/>
            <w:tcBorders>
              <w:top w:val="single" w:color="auto" w:sz="4" w:space="0"/>
              <w:righ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10万/分</w:t>
            </w:r>
          </w:p>
        </w:tc>
        <w:tc>
          <w:tcPr>
            <w:tcW w:w="1150" w:type="dxa"/>
            <w:tcBorders>
              <w:top w:val="single" w:color="auto" w:sz="4" w:space="0"/>
              <w:lef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20万/分</w:t>
            </w:r>
          </w:p>
        </w:tc>
        <w:tc>
          <w:tcPr>
            <w:tcW w:w="1200" w:type="dxa"/>
            <w:tcBorders>
              <w:top w:val="single" w:color="auto" w:sz="4" w:space="0"/>
              <w:righ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20万/分</w:t>
            </w:r>
          </w:p>
        </w:tc>
        <w:tc>
          <w:tcPr>
            <w:tcW w:w="1163" w:type="dxa"/>
            <w:tcBorders>
              <w:top w:val="single" w:color="auto" w:sz="4" w:space="0"/>
              <w:righ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30万/分</w:t>
            </w:r>
          </w:p>
        </w:tc>
        <w:tc>
          <w:tcPr>
            <w:tcW w:w="1512" w:type="dxa"/>
            <w:vMerge w:val="continue"/>
            <w:tcBorders>
              <w:left w:val="single" w:color="auto" w:sz="4" w:space="0"/>
            </w:tcBorders>
            <w:vAlign w:val="center"/>
          </w:tcPr>
          <w:p>
            <w:pPr>
              <w:spacing w:line="360" w:lineRule="auto"/>
              <w:jc w:val="center"/>
              <w:rPr>
                <w:rFonts w:ascii="楷体_GB2312" w:hAnsi="宋体" w:eastAsia="楷体_GB2312"/>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0" w:hRule="atLeast"/>
        </w:trPr>
        <w:tc>
          <w:tcPr>
            <w:tcW w:w="2205" w:type="dxa"/>
            <w:vAlign w:val="center"/>
          </w:tcPr>
          <w:p>
            <w:pPr>
              <w:spacing w:line="360" w:lineRule="auto"/>
              <w:jc w:val="center"/>
              <w:rPr>
                <w:rFonts w:ascii="楷体_GB2312" w:hAnsi="宋体" w:eastAsia="楷体_GB2312"/>
                <w:sz w:val="24"/>
              </w:rPr>
            </w:pPr>
            <w:r>
              <w:rPr>
                <w:rFonts w:hint="eastAsia" w:ascii="楷体_GB2312" w:hAnsi="宋体" w:eastAsia="楷体_GB2312"/>
                <w:sz w:val="24"/>
              </w:rPr>
              <w:t>黄牌警告</w:t>
            </w:r>
          </w:p>
        </w:tc>
        <w:tc>
          <w:tcPr>
            <w:tcW w:w="2240" w:type="dxa"/>
            <w:gridSpan w:val="2"/>
            <w:vAlign w:val="center"/>
          </w:tcPr>
          <w:p>
            <w:pPr>
              <w:spacing w:line="360" w:lineRule="auto"/>
              <w:jc w:val="center"/>
              <w:rPr>
                <w:rFonts w:ascii="楷体_GB2312" w:hAnsi="宋体" w:eastAsia="楷体_GB2312"/>
                <w:sz w:val="24"/>
              </w:rPr>
            </w:pPr>
            <w:r>
              <w:rPr>
                <w:rFonts w:hint="eastAsia" w:ascii="楷体_GB2312" w:hAnsi="宋体" w:eastAsia="楷体_GB2312"/>
                <w:sz w:val="24"/>
              </w:rPr>
              <w:t>50万</w:t>
            </w:r>
          </w:p>
        </w:tc>
        <w:tc>
          <w:tcPr>
            <w:tcW w:w="2287" w:type="dxa"/>
            <w:gridSpan w:val="2"/>
            <w:vAlign w:val="center"/>
          </w:tcPr>
          <w:p>
            <w:pPr>
              <w:spacing w:line="360" w:lineRule="auto"/>
              <w:jc w:val="center"/>
              <w:rPr>
                <w:rFonts w:ascii="楷体_GB2312" w:hAnsi="宋体" w:eastAsia="楷体_GB2312"/>
                <w:sz w:val="24"/>
              </w:rPr>
            </w:pPr>
            <w:r>
              <w:rPr>
                <w:rFonts w:hint="eastAsia" w:ascii="楷体_GB2312" w:hAnsi="宋体" w:eastAsia="楷体_GB2312"/>
                <w:sz w:val="24"/>
              </w:rPr>
              <w:t>100万</w:t>
            </w:r>
          </w:p>
        </w:tc>
        <w:tc>
          <w:tcPr>
            <w:tcW w:w="2363" w:type="dxa"/>
            <w:gridSpan w:val="2"/>
            <w:tcBorders>
              <w:right w:val="single" w:color="auto" w:sz="4" w:space="0"/>
            </w:tcBorders>
            <w:vAlign w:val="center"/>
          </w:tcPr>
          <w:p>
            <w:pPr>
              <w:spacing w:line="360" w:lineRule="auto"/>
              <w:jc w:val="center"/>
              <w:rPr>
                <w:rFonts w:ascii="楷体_GB2312" w:hAnsi="宋体" w:eastAsia="楷体_GB2312"/>
                <w:sz w:val="24"/>
              </w:rPr>
            </w:pPr>
            <w:r>
              <w:rPr>
                <w:rFonts w:hint="eastAsia" w:ascii="楷体_GB2312" w:hAnsi="宋体" w:eastAsia="楷体_GB2312"/>
                <w:sz w:val="24"/>
              </w:rPr>
              <w:t>200万</w:t>
            </w:r>
          </w:p>
        </w:tc>
        <w:tc>
          <w:tcPr>
            <w:tcW w:w="1512" w:type="dxa"/>
            <w:vMerge w:val="continue"/>
            <w:tcBorders>
              <w:left w:val="single" w:color="auto" w:sz="4" w:space="0"/>
            </w:tcBorders>
            <w:vAlign w:val="center"/>
          </w:tcPr>
          <w:p>
            <w:pPr>
              <w:spacing w:line="360" w:lineRule="auto"/>
              <w:jc w:val="center"/>
              <w:rPr>
                <w:rFonts w:ascii="楷体_GB2312" w:hAnsi="宋体" w:eastAsia="楷体_GB2312"/>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6" w:hRule="atLeast"/>
        </w:trPr>
        <w:tc>
          <w:tcPr>
            <w:tcW w:w="2205" w:type="dxa"/>
            <w:vAlign w:val="center"/>
          </w:tcPr>
          <w:p>
            <w:pPr>
              <w:spacing w:line="360" w:lineRule="auto"/>
              <w:jc w:val="center"/>
              <w:rPr>
                <w:rFonts w:ascii="楷体_GB2312" w:hAnsi="宋体" w:eastAsia="楷体_GB2312"/>
                <w:sz w:val="24"/>
              </w:rPr>
            </w:pPr>
            <w:r>
              <w:rPr>
                <w:rFonts w:hint="eastAsia" w:ascii="楷体_GB2312" w:hAnsi="宋体" w:eastAsia="楷体_GB2312"/>
                <w:sz w:val="24"/>
              </w:rPr>
              <w:t>红牌警告</w:t>
            </w:r>
          </w:p>
        </w:tc>
        <w:tc>
          <w:tcPr>
            <w:tcW w:w="8402" w:type="dxa"/>
            <w:gridSpan w:val="7"/>
            <w:vAlign w:val="center"/>
          </w:tcPr>
          <w:p>
            <w:pPr>
              <w:spacing w:line="360" w:lineRule="auto"/>
              <w:jc w:val="center"/>
              <w:rPr>
                <w:rFonts w:ascii="楷体_GB2312" w:hAnsi="宋体" w:eastAsia="楷体_GB2312"/>
                <w:sz w:val="24"/>
              </w:rPr>
            </w:pPr>
            <w:r>
              <w:rPr>
                <w:rFonts w:hint="eastAsia" w:ascii="楷体_GB2312" w:hAnsi="宋体" w:eastAsia="楷体_GB2312"/>
                <w:sz w:val="24"/>
              </w:rPr>
              <w:t>500万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8" w:hRule="atLeast"/>
        </w:trPr>
        <w:tc>
          <w:tcPr>
            <w:tcW w:w="2205" w:type="dxa"/>
            <w:vAlign w:val="center"/>
          </w:tcPr>
          <w:p>
            <w:pPr>
              <w:spacing w:line="360" w:lineRule="auto"/>
              <w:jc w:val="center"/>
              <w:rPr>
                <w:rFonts w:ascii="楷体_GB2312" w:hAnsi="宋体" w:eastAsia="楷体_GB2312"/>
                <w:sz w:val="24"/>
              </w:rPr>
            </w:pPr>
            <w:r>
              <w:rPr>
                <w:rFonts w:hint="eastAsia" w:ascii="楷体_GB2312" w:hAnsi="宋体" w:eastAsia="楷体_GB2312"/>
                <w:sz w:val="24"/>
              </w:rPr>
              <w:t>其他情况</w:t>
            </w:r>
          </w:p>
        </w:tc>
        <w:tc>
          <w:tcPr>
            <w:tcW w:w="8402" w:type="dxa"/>
            <w:gridSpan w:val="7"/>
            <w:vAlign w:val="center"/>
          </w:tcPr>
          <w:p>
            <w:pPr>
              <w:spacing w:line="360" w:lineRule="auto"/>
              <w:jc w:val="center"/>
              <w:rPr>
                <w:rFonts w:ascii="楷体_GB2312" w:hAnsi="宋体" w:eastAsia="楷体_GB2312"/>
                <w:sz w:val="24"/>
              </w:rPr>
            </w:pPr>
            <w:r>
              <w:rPr>
                <w:rFonts w:hint="eastAsia" w:ascii="楷体_GB2312" w:hAnsi="宋体" w:eastAsia="楷体_GB2312"/>
                <w:sz w:val="24"/>
              </w:rPr>
              <w:t>甲方根据实际受损酌情处罚</w:t>
            </w:r>
          </w:p>
        </w:tc>
      </w:tr>
    </w:tbl>
    <w:p>
      <w:pPr>
        <w:ind w:firstLine="480"/>
        <w:rPr>
          <w:rFonts w:ascii="楷体_GB2312" w:hAnsi="宋体" w:eastAsia="楷体_GB2312"/>
          <w:b/>
          <w:sz w:val="24"/>
        </w:rPr>
      </w:pPr>
    </w:p>
    <w:p>
      <w:pPr>
        <w:ind w:firstLine="480"/>
        <w:rPr>
          <w:rFonts w:ascii="楷体_GB2312" w:hAnsi="宋体" w:eastAsia="楷体_GB2312"/>
          <w:b/>
          <w:sz w:val="24"/>
        </w:rPr>
      </w:pPr>
    </w:p>
    <w:p>
      <w:pPr>
        <w:ind w:firstLine="480"/>
        <w:rPr>
          <w:rFonts w:hint="eastAsia" w:ascii="楷体_GB2312" w:hAnsi="宋体" w:eastAsia="楷体_GB2312"/>
          <w:b/>
          <w:sz w:val="24"/>
        </w:rPr>
      </w:pPr>
      <w:r>
        <w:rPr>
          <w:rFonts w:hint="eastAsia" w:ascii="楷体_GB2312" w:hAnsi="宋体" w:eastAsia="楷体_GB2312"/>
          <w:b/>
          <w:sz w:val="24"/>
        </w:rPr>
        <w:t>乙方除按上述标准缴纳相关罚款外，还应承担甲方为处理上述处罚情况进行整改而产生的一切费用。同时，甲方将保留进一步追究乙方因此对甲方造成损失的追偿权。</w:t>
      </w:r>
    </w:p>
    <w:p>
      <w:pPr>
        <w:ind w:firstLine="480"/>
        <w:rPr>
          <w:rFonts w:hint="eastAsia" w:ascii="楷体_GB2312" w:hAnsi="宋体" w:eastAsia="楷体_GB2312"/>
          <w:b/>
          <w:sz w:val="24"/>
        </w:rPr>
      </w:pPr>
    </w:p>
    <w:p>
      <w:pPr>
        <w:rPr>
          <w:rFonts w:hint="eastAsia" w:ascii="楷体_GB2312" w:hAnsi="宋体" w:eastAsia="楷体_GB2312"/>
          <w:b/>
          <w:sz w:val="24"/>
        </w:rPr>
      </w:pPr>
      <w:r>
        <w:rPr>
          <w:rFonts w:hint="eastAsia" w:ascii="楷体_GB2312" w:hAnsi="宋体" w:eastAsia="楷体_GB2312"/>
          <w:b/>
          <w:sz w:val="24"/>
        </w:rPr>
        <w:t xml:space="preserve">                                  </w:t>
      </w:r>
      <w:r>
        <w:rPr>
          <w:rFonts w:hint="eastAsia" w:ascii="楷体" w:hAnsi="楷体" w:eastAsia="楷体"/>
          <w:b/>
          <w:sz w:val="28"/>
          <w:szCs w:val="28"/>
        </w:rPr>
        <w:t>乙方法定代表人（或委托代理人）签字：</w:t>
      </w:r>
      <w:r>
        <w:rPr>
          <w:rFonts w:hint="eastAsia" w:ascii="楷体" w:hAnsi="楷体" w:eastAsia="楷体"/>
          <w:b/>
          <w:sz w:val="28"/>
          <w:szCs w:val="28"/>
          <w:u w:val="single"/>
        </w:rPr>
        <w:t xml:space="preserve">            </w:t>
      </w:r>
    </w:p>
    <w:p>
      <w:pPr>
        <w:rPr>
          <w:rFonts w:ascii="楷体" w:hAnsi="楷体" w:eastAsia="楷体"/>
          <w:b/>
          <w:sz w:val="28"/>
          <w:szCs w:val="28"/>
        </w:rPr>
      </w:pPr>
    </w:p>
    <w:p>
      <w:pPr>
        <w:rPr>
          <w:rFonts w:ascii="楷体" w:hAnsi="楷体" w:eastAsia="楷体"/>
          <w:b/>
          <w:sz w:val="28"/>
          <w:szCs w:val="28"/>
        </w:rPr>
      </w:pPr>
    </w:p>
    <w:p>
      <w:pPr>
        <w:rPr>
          <w:rFonts w:ascii="楷体" w:hAnsi="楷体" w:eastAsia="楷体"/>
          <w:b/>
          <w:sz w:val="28"/>
          <w:szCs w:val="28"/>
        </w:rPr>
      </w:pPr>
      <w:r>
        <w:rPr>
          <w:rFonts w:hint="eastAsia" w:ascii="楷体" w:hAnsi="楷体" w:eastAsia="楷体"/>
          <w:b/>
          <w:sz w:val="28"/>
          <w:szCs w:val="28"/>
        </w:rPr>
        <w:t>附件三项目管理存在违章处罚规定(</w:t>
      </w:r>
      <w:r>
        <w:rPr>
          <w:rFonts w:hint="eastAsia" w:ascii="楷体" w:hAnsi="楷体" w:eastAsia="楷体"/>
          <w:b/>
          <w:color w:val="FF0000"/>
          <w:sz w:val="28"/>
          <w:szCs w:val="28"/>
        </w:rPr>
        <w:t>报建项目</w:t>
      </w:r>
      <w:r>
        <w:rPr>
          <w:rFonts w:hint="eastAsia" w:ascii="楷体" w:hAnsi="楷体" w:eastAsia="楷体"/>
          <w:b/>
          <w:sz w:val="28"/>
          <w:szCs w:val="28"/>
        </w:rPr>
        <w:t>)</w:t>
      </w:r>
    </w:p>
    <w:p>
      <w:pPr>
        <w:spacing w:line="480" w:lineRule="auto"/>
        <w:jc w:val="center"/>
        <w:rPr>
          <w:rFonts w:hint="eastAsia" w:ascii="宋体" w:hAnsi="宋体"/>
          <w:b/>
          <w:sz w:val="30"/>
          <w:szCs w:val="30"/>
        </w:rPr>
      </w:pPr>
      <w:r>
        <w:rPr>
          <w:rFonts w:hint="eastAsia" w:ascii="宋体" w:hAnsi="宋体"/>
          <w:b/>
          <w:sz w:val="30"/>
          <w:szCs w:val="30"/>
        </w:rPr>
        <w:t>项目管理存在违章处罚规定</w:t>
      </w:r>
    </w:p>
    <w:tbl>
      <w:tblPr>
        <w:tblStyle w:val="9"/>
        <w:tblW w:w="10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492"/>
        <w:gridCol w:w="2464"/>
        <w:gridCol w:w="3686"/>
        <w:gridCol w:w="127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696" w:type="dxa"/>
            <w:vAlign w:val="top"/>
          </w:tcPr>
          <w:p>
            <w:pPr>
              <w:jc w:val="center"/>
              <w:rPr>
                <w:rFonts w:ascii="宋体" w:hAnsi="宋体"/>
                <w:szCs w:val="21"/>
              </w:rPr>
            </w:pPr>
            <w:r>
              <w:rPr>
                <w:rFonts w:hint="eastAsia" w:ascii="宋体" w:hAnsi="宋体"/>
                <w:szCs w:val="21"/>
              </w:rPr>
              <w:t>项</w:t>
            </w:r>
          </w:p>
          <w:p>
            <w:pPr>
              <w:jc w:val="center"/>
              <w:rPr>
                <w:rFonts w:ascii="宋体" w:hAnsi="宋体"/>
                <w:szCs w:val="21"/>
              </w:rPr>
            </w:pPr>
            <w:r>
              <w:rPr>
                <w:rFonts w:hint="eastAsia" w:ascii="宋体" w:hAnsi="宋体"/>
                <w:szCs w:val="21"/>
              </w:rPr>
              <w:t>目</w:t>
            </w:r>
          </w:p>
        </w:tc>
        <w:tc>
          <w:tcPr>
            <w:tcW w:w="492" w:type="dxa"/>
            <w:vAlign w:val="top"/>
          </w:tcPr>
          <w:p>
            <w:pPr>
              <w:jc w:val="center"/>
              <w:rPr>
                <w:rFonts w:ascii="宋体" w:hAnsi="宋体"/>
                <w:szCs w:val="21"/>
              </w:rPr>
            </w:pPr>
            <w:r>
              <w:rPr>
                <w:rFonts w:hint="eastAsia" w:ascii="宋体" w:hAnsi="宋体"/>
                <w:szCs w:val="21"/>
              </w:rPr>
              <w:t>序号</w:t>
            </w:r>
          </w:p>
        </w:tc>
        <w:tc>
          <w:tcPr>
            <w:tcW w:w="2464" w:type="dxa"/>
            <w:vAlign w:val="center"/>
          </w:tcPr>
          <w:p>
            <w:pPr>
              <w:jc w:val="center"/>
              <w:rPr>
                <w:rFonts w:ascii="宋体" w:hAnsi="宋体"/>
                <w:szCs w:val="21"/>
              </w:rPr>
            </w:pPr>
            <w:r>
              <w:rPr>
                <w:rFonts w:hint="eastAsia" w:ascii="宋体" w:hAnsi="宋体"/>
                <w:szCs w:val="21"/>
              </w:rPr>
              <w:t>违章内容</w:t>
            </w:r>
          </w:p>
        </w:tc>
        <w:tc>
          <w:tcPr>
            <w:tcW w:w="3686" w:type="dxa"/>
            <w:vAlign w:val="center"/>
          </w:tcPr>
          <w:p>
            <w:pPr>
              <w:jc w:val="center"/>
              <w:rPr>
                <w:rFonts w:ascii="宋体" w:hAnsi="宋体"/>
                <w:szCs w:val="21"/>
              </w:rPr>
            </w:pPr>
            <w:r>
              <w:rPr>
                <w:rFonts w:hint="eastAsia" w:ascii="宋体" w:hAnsi="宋体"/>
                <w:szCs w:val="21"/>
              </w:rPr>
              <w:t>对项目的处罚</w:t>
            </w:r>
          </w:p>
        </w:tc>
        <w:tc>
          <w:tcPr>
            <w:tcW w:w="1275" w:type="dxa"/>
            <w:vAlign w:val="center"/>
          </w:tcPr>
          <w:p>
            <w:pPr>
              <w:jc w:val="center"/>
              <w:rPr>
                <w:rFonts w:ascii="宋体" w:hAnsi="宋体"/>
                <w:szCs w:val="21"/>
              </w:rPr>
            </w:pPr>
            <w:r>
              <w:rPr>
                <w:rFonts w:hint="eastAsia" w:ascii="宋体" w:hAnsi="宋体"/>
                <w:szCs w:val="21"/>
              </w:rPr>
              <w:t>项目责任人处罚比例</w:t>
            </w:r>
          </w:p>
        </w:tc>
        <w:tc>
          <w:tcPr>
            <w:tcW w:w="2295" w:type="dxa"/>
            <w:vAlign w:val="top"/>
          </w:tcPr>
          <w:p>
            <w:pPr>
              <w:jc w:val="center"/>
              <w:rPr>
                <w:rFonts w:ascii="宋体" w:hAnsi="宋体"/>
                <w:szCs w:val="21"/>
              </w:rPr>
            </w:pPr>
            <w:r>
              <w:rPr>
                <w:rFonts w:hint="eastAsia" w:ascii="宋体" w:hAnsi="宋体"/>
                <w:b/>
                <w:szCs w:val="21"/>
              </w:rPr>
              <w:t>修改或增加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0" w:hRule="atLeast"/>
        </w:trPr>
        <w:tc>
          <w:tcPr>
            <w:tcW w:w="696" w:type="dxa"/>
            <w:vMerge w:val="restart"/>
            <w:vAlign w:val="center"/>
          </w:tcPr>
          <w:p>
            <w:pPr>
              <w:spacing w:line="320" w:lineRule="exact"/>
              <w:ind w:left="-178" w:leftChars="-85"/>
              <w:jc w:val="center"/>
              <w:rPr>
                <w:rFonts w:ascii="宋体" w:hAnsi="宋体"/>
                <w:szCs w:val="21"/>
              </w:rPr>
            </w:pPr>
          </w:p>
          <w:p>
            <w:pPr>
              <w:spacing w:line="320" w:lineRule="exact"/>
              <w:ind w:left="-178" w:leftChars="-85"/>
              <w:jc w:val="center"/>
              <w:rPr>
                <w:rFonts w:ascii="宋体" w:hAnsi="宋体"/>
                <w:szCs w:val="21"/>
              </w:rPr>
            </w:pPr>
          </w:p>
          <w:p>
            <w:pPr>
              <w:spacing w:line="320" w:lineRule="exact"/>
              <w:ind w:left="-178" w:leftChars="-85"/>
              <w:jc w:val="center"/>
              <w:rPr>
                <w:rFonts w:ascii="宋体" w:hAnsi="宋体"/>
                <w:szCs w:val="21"/>
              </w:rPr>
            </w:pPr>
          </w:p>
          <w:p>
            <w:pPr>
              <w:spacing w:line="320" w:lineRule="exact"/>
              <w:ind w:left="-178" w:leftChars="-85"/>
              <w:jc w:val="center"/>
              <w:rPr>
                <w:rFonts w:ascii="宋体" w:hAnsi="宋体"/>
                <w:szCs w:val="21"/>
              </w:rPr>
            </w:pPr>
          </w:p>
          <w:p>
            <w:pPr>
              <w:spacing w:line="320" w:lineRule="exact"/>
              <w:ind w:left="-178" w:leftChars="-85"/>
              <w:jc w:val="center"/>
              <w:rPr>
                <w:rFonts w:ascii="宋体" w:hAnsi="宋体"/>
                <w:b/>
                <w:szCs w:val="21"/>
              </w:rPr>
            </w:pPr>
            <w:r>
              <w:rPr>
                <w:rFonts w:hint="eastAsia" w:ascii="宋体" w:hAnsi="宋体"/>
                <w:b/>
                <w:szCs w:val="21"/>
              </w:rPr>
              <w:t>安</w:t>
            </w:r>
          </w:p>
          <w:p>
            <w:pPr>
              <w:spacing w:line="320" w:lineRule="exact"/>
              <w:ind w:left="-178" w:leftChars="-85"/>
              <w:jc w:val="center"/>
              <w:rPr>
                <w:rFonts w:ascii="宋体" w:hAnsi="宋体"/>
                <w:b/>
                <w:szCs w:val="21"/>
              </w:rPr>
            </w:pPr>
          </w:p>
          <w:p>
            <w:pPr>
              <w:spacing w:line="320" w:lineRule="exact"/>
              <w:ind w:left="-178" w:leftChars="-85"/>
              <w:jc w:val="center"/>
              <w:rPr>
                <w:rFonts w:ascii="宋体" w:hAnsi="宋体"/>
                <w:b/>
                <w:szCs w:val="21"/>
              </w:rPr>
            </w:pPr>
          </w:p>
          <w:p>
            <w:pPr>
              <w:spacing w:line="320" w:lineRule="exact"/>
              <w:ind w:left="-178" w:leftChars="-85"/>
              <w:jc w:val="center"/>
              <w:rPr>
                <w:rFonts w:ascii="宋体" w:hAnsi="宋体"/>
                <w:b/>
                <w:szCs w:val="21"/>
              </w:rPr>
            </w:pPr>
            <w:r>
              <w:rPr>
                <w:rFonts w:hint="eastAsia" w:ascii="宋体" w:hAnsi="宋体"/>
                <w:b/>
                <w:szCs w:val="21"/>
              </w:rPr>
              <w:t xml:space="preserve"> 全</w:t>
            </w:r>
          </w:p>
          <w:p>
            <w:pPr>
              <w:spacing w:line="320" w:lineRule="exact"/>
              <w:ind w:left="-178" w:leftChars="-85"/>
              <w:jc w:val="center"/>
              <w:rPr>
                <w:rFonts w:ascii="宋体" w:hAnsi="宋体"/>
                <w:b/>
                <w:szCs w:val="21"/>
              </w:rPr>
            </w:pPr>
          </w:p>
          <w:p>
            <w:pPr>
              <w:spacing w:line="320" w:lineRule="exact"/>
              <w:ind w:left="-178" w:leftChars="-85"/>
              <w:jc w:val="center"/>
              <w:rPr>
                <w:rFonts w:ascii="宋体" w:hAnsi="宋体"/>
                <w:b/>
                <w:szCs w:val="21"/>
              </w:rPr>
            </w:pPr>
          </w:p>
          <w:p>
            <w:pPr>
              <w:spacing w:line="320" w:lineRule="exact"/>
              <w:ind w:left="-178" w:leftChars="-85"/>
              <w:jc w:val="center"/>
              <w:rPr>
                <w:rFonts w:ascii="宋体" w:hAnsi="宋体"/>
                <w:b/>
                <w:szCs w:val="21"/>
              </w:rPr>
            </w:pPr>
            <w:r>
              <w:rPr>
                <w:rFonts w:hint="eastAsia" w:ascii="宋体" w:hAnsi="宋体"/>
                <w:b/>
                <w:szCs w:val="21"/>
              </w:rPr>
              <w:t xml:space="preserve"> 管</w:t>
            </w:r>
          </w:p>
          <w:p>
            <w:pPr>
              <w:spacing w:line="320" w:lineRule="exact"/>
              <w:ind w:left="-178" w:leftChars="-85"/>
              <w:jc w:val="center"/>
              <w:rPr>
                <w:rFonts w:ascii="宋体" w:hAnsi="宋体"/>
                <w:b/>
                <w:szCs w:val="21"/>
              </w:rPr>
            </w:pPr>
          </w:p>
          <w:p>
            <w:pPr>
              <w:spacing w:line="320" w:lineRule="exact"/>
              <w:ind w:left="-178" w:leftChars="-85"/>
              <w:jc w:val="center"/>
              <w:rPr>
                <w:rFonts w:ascii="宋体" w:hAnsi="宋体"/>
                <w:b/>
                <w:szCs w:val="21"/>
              </w:rPr>
            </w:pPr>
          </w:p>
          <w:p>
            <w:pPr>
              <w:spacing w:line="320" w:lineRule="exact"/>
              <w:ind w:left="-178" w:leftChars="-85"/>
              <w:jc w:val="center"/>
              <w:rPr>
                <w:rFonts w:ascii="宋体" w:hAnsi="宋体"/>
                <w:szCs w:val="21"/>
              </w:rPr>
            </w:pPr>
            <w:r>
              <w:rPr>
                <w:rFonts w:hint="eastAsia" w:ascii="宋体" w:hAnsi="宋体"/>
                <w:b/>
                <w:szCs w:val="21"/>
              </w:rPr>
              <w:t xml:space="preserve"> 理 </w:t>
            </w:r>
          </w:p>
        </w:tc>
        <w:tc>
          <w:tcPr>
            <w:tcW w:w="492" w:type="dxa"/>
            <w:vAlign w:val="center"/>
          </w:tcPr>
          <w:p>
            <w:pPr>
              <w:spacing w:line="320" w:lineRule="exact"/>
              <w:jc w:val="center"/>
              <w:rPr>
                <w:rFonts w:ascii="宋体" w:hAnsi="宋体"/>
                <w:szCs w:val="21"/>
              </w:rPr>
            </w:pPr>
            <w:r>
              <w:rPr>
                <w:rFonts w:hint="eastAsia" w:ascii="宋体" w:hAnsi="宋体"/>
                <w:szCs w:val="21"/>
              </w:rPr>
              <w:t>1</w:t>
            </w:r>
          </w:p>
        </w:tc>
        <w:tc>
          <w:tcPr>
            <w:tcW w:w="2464" w:type="dxa"/>
            <w:vAlign w:val="center"/>
          </w:tcPr>
          <w:p>
            <w:pPr>
              <w:spacing w:line="320" w:lineRule="exact"/>
              <w:rPr>
                <w:rFonts w:ascii="宋体" w:hAnsi="宋体"/>
                <w:szCs w:val="21"/>
              </w:rPr>
            </w:pPr>
            <w:r>
              <w:rPr>
                <w:rFonts w:hint="eastAsia" w:ascii="宋体" w:hAnsi="宋体"/>
                <w:szCs w:val="21"/>
              </w:rPr>
              <w:t>未建立健全从业人员培训档案，未进行三级安全教育，未进行安全技术交底，</w:t>
            </w:r>
            <w:r>
              <w:rPr>
                <w:rFonts w:ascii="宋体" w:hAnsi="宋体" w:cs="宋体"/>
                <w:kern w:val="0"/>
                <w:szCs w:val="21"/>
              </w:rPr>
              <w:t>未落实岗前五分钟教育，并</w:t>
            </w:r>
            <w:r>
              <w:rPr>
                <w:rFonts w:hint="eastAsia" w:ascii="宋体" w:hAnsi="宋体" w:cs="宋体"/>
                <w:kern w:val="0"/>
                <w:szCs w:val="21"/>
              </w:rPr>
              <w:t>未</w:t>
            </w:r>
            <w:r>
              <w:rPr>
                <w:rFonts w:ascii="宋体" w:hAnsi="宋体" w:cs="宋体"/>
                <w:kern w:val="0"/>
                <w:szCs w:val="21"/>
              </w:rPr>
              <w:t>留设会议影像相关资料和记录</w:t>
            </w:r>
          </w:p>
        </w:tc>
        <w:tc>
          <w:tcPr>
            <w:tcW w:w="3686" w:type="dxa"/>
            <w:vAlign w:val="center"/>
          </w:tcPr>
          <w:p>
            <w:pPr>
              <w:spacing w:line="320" w:lineRule="exact"/>
              <w:rPr>
                <w:rFonts w:ascii="宋体" w:hAnsi="宋体"/>
                <w:szCs w:val="21"/>
              </w:rPr>
            </w:pPr>
            <w:r>
              <w:rPr>
                <w:rFonts w:hint="eastAsia" w:ascii="宋体" w:hAnsi="宋体"/>
                <w:szCs w:val="21"/>
              </w:rPr>
              <w:t>未建立培训档案责令整改，下次检查仍未整改罚款200元，整改不全罚款100元，岗前未进行教育或交底责令整改，并罚款100元/人次，下次检查仍未整改罚款200元/人次。</w:t>
            </w:r>
          </w:p>
        </w:tc>
        <w:tc>
          <w:tcPr>
            <w:tcW w:w="1275" w:type="dxa"/>
            <w:vAlign w:val="center"/>
          </w:tcPr>
          <w:p>
            <w:pPr>
              <w:spacing w:line="440" w:lineRule="exact"/>
              <w:rPr>
                <w:rFonts w:ascii="宋体" w:hAnsi="宋体"/>
                <w:szCs w:val="21"/>
              </w:rPr>
            </w:pPr>
          </w:p>
        </w:tc>
        <w:tc>
          <w:tcPr>
            <w:tcW w:w="2295" w:type="dxa"/>
            <w:vAlign w:val="top"/>
          </w:tcPr>
          <w:p>
            <w:pPr>
              <w:spacing w:line="4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8" w:hRule="atLeast"/>
        </w:trPr>
        <w:tc>
          <w:tcPr>
            <w:tcW w:w="696" w:type="dxa"/>
            <w:vMerge w:val="continue"/>
            <w:vAlign w:val="top"/>
          </w:tcPr>
          <w:p>
            <w:pPr>
              <w:spacing w:line="400" w:lineRule="exact"/>
              <w:rPr>
                <w:rFonts w:ascii="宋体" w:hAnsi="宋体"/>
                <w:b/>
                <w:bCs/>
                <w:sz w:val="32"/>
                <w:szCs w:val="21"/>
              </w:rPr>
            </w:pPr>
          </w:p>
        </w:tc>
        <w:tc>
          <w:tcPr>
            <w:tcW w:w="492" w:type="dxa"/>
            <w:vAlign w:val="center"/>
          </w:tcPr>
          <w:p>
            <w:pPr>
              <w:spacing w:line="400" w:lineRule="exact"/>
              <w:jc w:val="center"/>
              <w:rPr>
                <w:rFonts w:ascii="宋体" w:hAnsi="宋体"/>
                <w:szCs w:val="21"/>
              </w:rPr>
            </w:pPr>
            <w:r>
              <w:rPr>
                <w:rFonts w:hint="eastAsia" w:ascii="宋体" w:hAnsi="宋体"/>
                <w:szCs w:val="21"/>
              </w:rPr>
              <w:t>2</w:t>
            </w:r>
          </w:p>
        </w:tc>
        <w:tc>
          <w:tcPr>
            <w:tcW w:w="2464" w:type="dxa"/>
            <w:vAlign w:val="center"/>
          </w:tcPr>
          <w:p>
            <w:pPr>
              <w:spacing w:line="400" w:lineRule="exact"/>
              <w:rPr>
                <w:rFonts w:ascii="宋体" w:hAnsi="宋体"/>
                <w:szCs w:val="21"/>
              </w:rPr>
            </w:pPr>
            <w:r>
              <w:rPr>
                <w:rFonts w:hint="eastAsia" w:ascii="宋体" w:hAnsi="宋体"/>
                <w:szCs w:val="21"/>
              </w:rPr>
              <w:t>特殊作业人员未持证上岗、证件不全或失效</w:t>
            </w:r>
          </w:p>
        </w:tc>
        <w:tc>
          <w:tcPr>
            <w:tcW w:w="3686" w:type="dxa"/>
            <w:vAlign w:val="center"/>
          </w:tcPr>
          <w:p>
            <w:pPr>
              <w:spacing w:line="400" w:lineRule="exact"/>
              <w:rPr>
                <w:rFonts w:ascii="宋体" w:hAnsi="宋体"/>
                <w:color w:val="FF0000"/>
                <w:szCs w:val="21"/>
              </w:rPr>
            </w:pPr>
            <w:r>
              <w:rPr>
                <w:rFonts w:hint="eastAsia" w:ascii="宋体" w:hAnsi="宋体"/>
                <w:color w:val="FF0000"/>
                <w:szCs w:val="21"/>
              </w:rPr>
              <w:t>检查发现责令整改，并罚款500元/人次，下次检查仍未整改罚款1000元/人次。</w:t>
            </w:r>
          </w:p>
        </w:tc>
        <w:tc>
          <w:tcPr>
            <w:tcW w:w="1275" w:type="dxa"/>
            <w:vAlign w:val="center"/>
          </w:tcPr>
          <w:p>
            <w:pPr>
              <w:spacing w:line="400" w:lineRule="exact"/>
              <w:rPr>
                <w:rFonts w:ascii="宋体" w:hAnsi="宋体"/>
                <w:b/>
                <w:bCs/>
                <w:sz w:val="32"/>
                <w:szCs w:val="21"/>
              </w:rPr>
            </w:pPr>
          </w:p>
        </w:tc>
        <w:tc>
          <w:tcPr>
            <w:tcW w:w="2295" w:type="dxa"/>
            <w:vAlign w:val="top"/>
          </w:tcPr>
          <w:p>
            <w:pPr>
              <w:spacing w:line="400" w:lineRule="exact"/>
              <w:rPr>
                <w:rFonts w:ascii="宋体" w:hAnsi="宋体"/>
                <w:b/>
                <w:szCs w:val="21"/>
              </w:rPr>
            </w:pPr>
            <w:r>
              <w:rPr>
                <w:rFonts w:hint="eastAsia" w:ascii="宋体" w:hAnsi="宋体"/>
                <w:b/>
                <w:szCs w:val="21"/>
              </w:rPr>
              <w:t>特殊作业人员未持证上岗罚款1000元/人次，下次检查仍未整改加倍处罚。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7" w:hRule="atLeast"/>
        </w:trPr>
        <w:tc>
          <w:tcPr>
            <w:tcW w:w="696" w:type="dxa"/>
            <w:vMerge w:val="continue"/>
            <w:vAlign w:val="top"/>
          </w:tcPr>
          <w:p>
            <w:pPr>
              <w:spacing w:line="400" w:lineRule="exact"/>
              <w:rPr>
                <w:rFonts w:ascii="宋体" w:hAnsi="宋体"/>
                <w:b/>
                <w:bCs/>
                <w:sz w:val="32"/>
                <w:szCs w:val="21"/>
              </w:rPr>
            </w:pPr>
          </w:p>
        </w:tc>
        <w:tc>
          <w:tcPr>
            <w:tcW w:w="492" w:type="dxa"/>
            <w:vAlign w:val="center"/>
          </w:tcPr>
          <w:p>
            <w:pPr>
              <w:spacing w:line="400" w:lineRule="exact"/>
              <w:jc w:val="center"/>
              <w:rPr>
                <w:rFonts w:ascii="宋体" w:hAnsi="宋体"/>
                <w:szCs w:val="21"/>
              </w:rPr>
            </w:pPr>
            <w:r>
              <w:rPr>
                <w:rFonts w:hint="eastAsia" w:ascii="宋体" w:hAnsi="宋体"/>
                <w:szCs w:val="21"/>
              </w:rPr>
              <w:t>3</w:t>
            </w:r>
          </w:p>
        </w:tc>
        <w:tc>
          <w:tcPr>
            <w:tcW w:w="2464" w:type="dxa"/>
            <w:vAlign w:val="center"/>
          </w:tcPr>
          <w:p>
            <w:pPr>
              <w:spacing w:line="400" w:lineRule="exact"/>
              <w:rPr>
                <w:rFonts w:ascii="宋体" w:hAnsi="宋体"/>
                <w:szCs w:val="21"/>
              </w:rPr>
            </w:pPr>
            <w:r>
              <w:rPr>
                <w:rFonts w:hint="eastAsia" w:ascii="宋体" w:hAnsi="宋体"/>
                <w:szCs w:val="21"/>
              </w:rPr>
              <w:t>项目部未</w:t>
            </w:r>
            <w:r>
              <w:rPr>
                <w:rFonts w:ascii="宋体" w:hAnsi="宋体"/>
                <w:szCs w:val="21"/>
              </w:rPr>
              <w:t>与分包单位签订安全协议、施工队组签订安全生产责任书。</w:t>
            </w:r>
            <w:r>
              <w:rPr>
                <w:rFonts w:hint="eastAsia" w:ascii="宋体" w:hAnsi="宋体"/>
                <w:szCs w:val="21"/>
              </w:rPr>
              <w:t>无自检查记录，出现工伤事故未按规定上报公司</w:t>
            </w:r>
          </w:p>
        </w:tc>
        <w:tc>
          <w:tcPr>
            <w:tcW w:w="3686" w:type="dxa"/>
            <w:vAlign w:val="center"/>
          </w:tcPr>
          <w:p>
            <w:pPr>
              <w:spacing w:line="400" w:lineRule="exact"/>
              <w:rPr>
                <w:rFonts w:ascii="宋体" w:hAnsi="宋体"/>
                <w:szCs w:val="21"/>
              </w:rPr>
            </w:pPr>
            <w:r>
              <w:rPr>
                <w:rFonts w:hint="eastAsia" w:ascii="宋体" w:hAnsi="宋体"/>
                <w:szCs w:val="21"/>
              </w:rPr>
              <w:t>项目部未签定安全协议或责任书，罚款500元；未开展自检、</w:t>
            </w:r>
            <w:r>
              <w:rPr>
                <w:rFonts w:ascii="宋体" w:hAnsi="宋体" w:cs="宋体"/>
                <w:kern w:val="0"/>
                <w:szCs w:val="21"/>
              </w:rPr>
              <w:t>周检</w:t>
            </w:r>
            <w:r>
              <w:rPr>
                <w:rFonts w:hint="eastAsia" w:ascii="宋体" w:hAnsi="宋体" w:cs="宋体"/>
                <w:kern w:val="0"/>
                <w:szCs w:val="21"/>
              </w:rPr>
              <w:t>等领导带班检查</w:t>
            </w:r>
            <w:r>
              <w:rPr>
                <w:rFonts w:ascii="宋体" w:hAnsi="宋体" w:cs="宋体"/>
                <w:kern w:val="0"/>
                <w:szCs w:val="21"/>
              </w:rPr>
              <w:t>并留设影像资料</w:t>
            </w:r>
            <w:ins w:id="2" w:author="mac" w:date="2017-05-26T12:22:00Z">
              <w:r>
                <w:rPr>
                  <w:rFonts w:hint="eastAsia" w:ascii="宋体" w:hAnsi="宋体" w:cs="宋体"/>
                  <w:kern w:val="0"/>
                  <w:szCs w:val="21"/>
                </w:rPr>
                <w:t>，</w:t>
              </w:r>
            </w:ins>
            <w:del w:id="3" w:author="mac" w:date="2017-05-26T12:22:00Z">
              <w:r>
                <w:rPr>
                  <w:rFonts w:ascii="宋体" w:hAnsi="宋体" w:cs="宋体"/>
                  <w:kern w:val="0"/>
                  <w:szCs w:val="21"/>
                </w:rPr>
                <w:delText>；</w:delText>
              </w:r>
            </w:del>
            <w:r>
              <w:rPr>
                <w:rFonts w:hint="eastAsia" w:ascii="宋体" w:hAnsi="宋体"/>
                <w:szCs w:val="21"/>
              </w:rPr>
              <w:t>责令整改，下次检查仍未整改罚款500元；</w:t>
            </w:r>
            <w:r>
              <w:rPr>
                <w:rFonts w:hint="eastAsia" w:ascii="宋体" w:hAnsi="宋体"/>
                <w:b/>
                <w:color w:val="FF0000"/>
                <w:szCs w:val="21"/>
              </w:rPr>
              <w:t>工伤责任事故未按规定1小时内上报或迟、瞒报罚1000元；</w:t>
            </w:r>
            <w:r>
              <w:rPr>
                <w:rFonts w:ascii="宋体" w:hAnsi="宋体" w:cs="宋体"/>
                <w:color w:val="000000"/>
                <w:kern w:val="0"/>
                <w:szCs w:val="21"/>
              </w:rPr>
              <w:t>发生安全事故</w:t>
            </w:r>
            <w:r>
              <w:rPr>
                <w:rFonts w:hint="eastAsia" w:ascii="宋体" w:hAnsi="宋体" w:cs="宋体"/>
                <w:color w:val="000000"/>
                <w:kern w:val="0"/>
                <w:szCs w:val="21"/>
              </w:rPr>
              <w:t>，</w:t>
            </w:r>
            <w:r>
              <w:rPr>
                <w:rFonts w:ascii="宋体" w:hAnsi="宋体" w:cs="宋体"/>
                <w:color w:val="000000"/>
                <w:kern w:val="0"/>
                <w:szCs w:val="21"/>
              </w:rPr>
              <w:t>未按“四不放过”原则处理</w:t>
            </w:r>
            <w:r>
              <w:rPr>
                <w:rFonts w:hint="eastAsia" w:ascii="宋体" w:hAnsi="宋体"/>
                <w:color w:val="000000"/>
                <w:szCs w:val="21"/>
              </w:rPr>
              <w:t>罚2000元</w:t>
            </w:r>
            <w:r>
              <w:rPr>
                <w:rFonts w:ascii="宋体" w:hAnsi="宋体" w:cs="宋体"/>
                <w:color w:val="000000"/>
                <w:kern w:val="0"/>
                <w:szCs w:val="21"/>
              </w:rPr>
              <w:t>。</w:t>
            </w:r>
          </w:p>
        </w:tc>
        <w:tc>
          <w:tcPr>
            <w:tcW w:w="1275" w:type="dxa"/>
            <w:vAlign w:val="center"/>
          </w:tcPr>
          <w:p>
            <w:pPr>
              <w:spacing w:line="400" w:lineRule="exact"/>
              <w:rPr>
                <w:rFonts w:ascii="宋体" w:hAnsi="宋体"/>
                <w:b/>
                <w:bCs/>
                <w:sz w:val="32"/>
                <w:szCs w:val="21"/>
              </w:rPr>
            </w:pPr>
          </w:p>
        </w:tc>
        <w:tc>
          <w:tcPr>
            <w:tcW w:w="2295" w:type="dxa"/>
            <w:vAlign w:val="top"/>
          </w:tcPr>
          <w:p>
            <w:pPr>
              <w:spacing w:line="400" w:lineRule="exact"/>
              <w:rPr>
                <w:rFonts w:ascii="宋体" w:hAnsi="宋体"/>
                <w:szCs w:val="21"/>
              </w:rPr>
            </w:pPr>
            <w:r>
              <w:rPr>
                <w:rFonts w:hint="eastAsia" w:ascii="宋体" w:hAnsi="宋体"/>
                <w:b/>
                <w:szCs w:val="21"/>
              </w:rPr>
              <w:t>工伤责任事故未按规定1小时内上报罚1000元；迟报罚2000元；瞒报罚10000元；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0" w:hRule="atLeast"/>
        </w:trPr>
        <w:tc>
          <w:tcPr>
            <w:tcW w:w="696" w:type="dxa"/>
            <w:vMerge w:val="continue"/>
            <w:vAlign w:val="top"/>
          </w:tcPr>
          <w:p>
            <w:pPr>
              <w:spacing w:line="400" w:lineRule="exact"/>
              <w:rPr>
                <w:rFonts w:ascii="宋体" w:hAnsi="宋体"/>
                <w:b/>
                <w:bCs/>
                <w:sz w:val="32"/>
                <w:szCs w:val="21"/>
              </w:rPr>
            </w:pPr>
          </w:p>
        </w:tc>
        <w:tc>
          <w:tcPr>
            <w:tcW w:w="492" w:type="dxa"/>
            <w:vAlign w:val="center"/>
          </w:tcPr>
          <w:p>
            <w:pPr>
              <w:spacing w:line="400" w:lineRule="exact"/>
              <w:jc w:val="center"/>
              <w:rPr>
                <w:rFonts w:ascii="宋体" w:hAnsi="宋体"/>
                <w:szCs w:val="21"/>
              </w:rPr>
            </w:pPr>
            <w:r>
              <w:rPr>
                <w:rFonts w:hint="eastAsia" w:ascii="宋体" w:hAnsi="宋体"/>
                <w:szCs w:val="21"/>
              </w:rPr>
              <w:t>4</w:t>
            </w:r>
          </w:p>
        </w:tc>
        <w:tc>
          <w:tcPr>
            <w:tcW w:w="2464" w:type="dxa"/>
            <w:vAlign w:val="center"/>
          </w:tcPr>
          <w:p>
            <w:pPr>
              <w:spacing w:line="400" w:lineRule="exact"/>
              <w:rPr>
                <w:rFonts w:ascii="宋体" w:hAnsi="宋体"/>
                <w:szCs w:val="21"/>
              </w:rPr>
            </w:pPr>
            <w:r>
              <w:rPr>
                <w:rFonts w:hint="eastAsia" w:ascii="宋体" w:hAnsi="宋体"/>
                <w:szCs w:val="21"/>
              </w:rPr>
              <w:t>对建委、质监处</w:t>
            </w:r>
            <w:ins w:id="4" w:author="mac" w:date="2017-05-26T12:22:00Z">
              <w:r>
                <w:rPr>
                  <w:rFonts w:hint="eastAsia" w:ascii="宋体" w:hAnsi="宋体"/>
                  <w:szCs w:val="21"/>
                </w:rPr>
                <w:t>、</w:t>
              </w:r>
            </w:ins>
            <w:r>
              <w:rPr>
                <w:rFonts w:hint="eastAsia" w:ascii="宋体" w:hAnsi="宋体"/>
                <w:szCs w:val="21"/>
              </w:rPr>
              <w:t>安监科及公司等上级部门检查下发整改通知书未在限期时间内进行整改</w:t>
            </w:r>
          </w:p>
        </w:tc>
        <w:tc>
          <w:tcPr>
            <w:tcW w:w="3686" w:type="dxa"/>
            <w:vAlign w:val="center"/>
          </w:tcPr>
          <w:p>
            <w:pPr>
              <w:spacing w:line="400" w:lineRule="exact"/>
              <w:rPr>
                <w:rFonts w:ascii="宋体" w:hAnsi="宋体"/>
                <w:szCs w:val="21"/>
              </w:rPr>
            </w:pPr>
            <w:r>
              <w:rPr>
                <w:rFonts w:hint="eastAsia" w:ascii="宋体" w:hAnsi="宋体"/>
                <w:szCs w:val="21"/>
              </w:rPr>
              <w:t>未按要求整改罚款500元；整改不及时罚款300元/次</w:t>
            </w:r>
          </w:p>
        </w:tc>
        <w:tc>
          <w:tcPr>
            <w:tcW w:w="1275" w:type="dxa"/>
            <w:vAlign w:val="center"/>
          </w:tcPr>
          <w:p>
            <w:pPr>
              <w:spacing w:line="400" w:lineRule="exact"/>
              <w:rPr>
                <w:rFonts w:ascii="宋体" w:hAnsi="宋体"/>
                <w:b/>
                <w:bCs/>
                <w:sz w:val="32"/>
                <w:szCs w:val="21"/>
              </w:rPr>
            </w:pPr>
          </w:p>
        </w:tc>
        <w:tc>
          <w:tcPr>
            <w:tcW w:w="2295" w:type="dxa"/>
            <w:vAlign w:val="top"/>
          </w:tcPr>
          <w:p>
            <w:pPr>
              <w:spacing w:line="400" w:lineRule="exact"/>
              <w:rPr>
                <w:rFonts w:ascii="宋体" w:hAnsi="宋体"/>
                <w:b/>
                <w:bCs/>
                <w:sz w:val="3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0" w:hRule="atLeast"/>
        </w:trPr>
        <w:tc>
          <w:tcPr>
            <w:tcW w:w="696" w:type="dxa"/>
            <w:vMerge w:val="continue"/>
            <w:vAlign w:val="top"/>
          </w:tcPr>
          <w:p>
            <w:pPr>
              <w:spacing w:line="400" w:lineRule="exact"/>
              <w:rPr>
                <w:rFonts w:ascii="宋体" w:hAnsi="宋体"/>
                <w:b/>
                <w:bCs/>
                <w:sz w:val="32"/>
                <w:szCs w:val="21"/>
              </w:rPr>
            </w:pPr>
          </w:p>
        </w:tc>
        <w:tc>
          <w:tcPr>
            <w:tcW w:w="492" w:type="dxa"/>
            <w:vAlign w:val="center"/>
          </w:tcPr>
          <w:p>
            <w:pPr>
              <w:spacing w:line="400" w:lineRule="exact"/>
              <w:jc w:val="center"/>
              <w:rPr>
                <w:rFonts w:ascii="宋体" w:hAnsi="宋体"/>
                <w:szCs w:val="21"/>
              </w:rPr>
            </w:pPr>
            <w:r>
              <w:rPr>
                <w:rFonts w:hint="eastAsia" w:ascii="宋体" w:hAnsi="宋体"/>
                <w:szCs w:val="21"/>
              </w:rPr>
              <w:t>5</w:t>
            </w:r>
          </w:p>
        </w:tc>
        <w:tc>
          <w:tcPr>
            <w:tcW w:w="2464" w:type="dxa"/>
            <w:vAlign w:val="center"/>
          </w:tcPr>
          <w:p>
            <w:pPr>
              <w:spacing w:line="400" w:lineRule="exact"/>
              <w:rPr>
                <w:rFonts w:ascii="宋体" w:hAnsi="宋体"/>
                <w:szCs w:val="21"/>
              </w:rPr>
            </w:pPr>
            <w:r>
              <w:rPr>
                <w:rFonts w:hint="eastAsia" w:ascii="宋体" w:hAnsi="宋体"/>
                <w:szCs w:val="21"/>
              </w:rPr>
              <w:t>对直管公司检查提出的隐患通知书未进行整改</w:t>
            </w:r>
          </w:p>
        </w:tc>
        <w:tc>
          <w:tcPr>
            <w:tcW w:w="3686" w:type="dxa"/>
            <w:vAlign w:val="center"/>
          </w:tcPr>
          <w:p>
            <w:pPr>
              <w:spacing w:line="400" w:lineRule="exact"/>
              <w:rPr>
                <w:rFonts w:ascii="宋体" w:hAnsi="宋体"/>
                <w:szCs w:val="21"/>
              </w:rPr>
            </w:pPr>
            <w:r>
              <w:rPr>
                <w:rFonts w:hint="eastAsia" w:ascii="宋体" w:hAnsi="宋体"/>
                <w:szCs w:val="21"/>
              </w:rPr>
              <w:t>未按限期整改罚款500元；整改不真实罚款200~500元，</w:t>
            </w:r>
            <w:r>
              <w:rPr>
                <w:rFonts w:hint="eastAsia" w:ascii="宋体" w:hAnsi="宋体"/>
                <w:color w:val="FF0000"/>
                <w:szCs w:val="21"/>
              </w:rPr>
              <w:t>不按时回复或超期罚款200元/次</w:t>
            </w:r>
          </w:p>
        </w:tc>
        <w:tc>
          <w:tcPr>
            <w:tcW w:w="1275" w:type="dxa"/>
            <w:vAlign w:val="center"/>
          </w:tcPr>
          <w:p>
            <w:pPr>
              <w:spacing w:line="400" w:lineRule="exact"/>
              <w:rPr>
                <w:rFonts w:ascii="宋体" w:hAnsi="宋体"/>
                <w:b/>
                <w:bCs/>
                <w:sz w:val="32"/>
                <w:szCs w:val="21"/>
              </w:rPr>
            </w:pPr>
          </w:p>
        </w:tc>
        <w:tc>
          <w:tcPr>
            <w:tcW w:w="2295" w:type="dxa"/>
            <w:vAlign w:val="top"/>
          </w:tcPr>
          <w:p>
            <w:pPr>
              <w:spacing w:line="400" w:lineRule="exact"/>
              <w:rPr>
                <w:rFonts w:ascii="宋体" w:hAnsi="宋体"/>
                <w:b/>
                <w:szCs w:val="21"/>
              </w:rPr>
            </w:pPr>
            <w:r>
              <w:rPr>
                <w:rFonts w:hint="eastAsia" w:ascii="宋体" w:hAnsi="宋体"/>
                <w:b/>
                <w:szCs w:val="21"/>
              </w:rPr>
              <w:t>不按时回复或超期罚款500元/次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7" w:hRule="atLeast"/>
        </w:trPr>
        <w:tc>
          <w:tcPr>
            <w:tcW w:w="696" w:type="dxa"/>
            <w:vMerge w:val="continue"/>
            <w:vAlign w:val="top"/>
          </w:tcPr>
          <w:p>
            <w:pPr>
              <w:spacing w:line="400" w:lineRule="exact"/>
              <w:rPr>
                <w:rFonts w:ascii="宋体" w:hAnsi="宋体"/>
                <w:szCs w:val="21"/>
              </w:rPr>
            </w:pPr>
          </w:p>
        </w:tc>
        <w:tc>
          <w:tcPr>
            <w:tcW w:w="492" w:type="dxa"/>
            <w:vAlign w:val="center"/>
          </w:tcPr>
          <w:p>
            <w:pPr>
              <w:spacing w:line="400" w:lineRule="exact"/>
              <w:jc w:val="center"/>
              <w:rPr>
                <w:rFonts w:ascii="宋体" w:hAnsi="宋体"/>
                <w:szCs w:val="21"/>
              </w:rPr>
            </w:pPr>
            <w:r>
              <w:rPr>
                <w:rFonts w:hint="eastAsia" w:ascii="宋体" w:hAnsi="宋体"/>
                <w:szCs w:val="21"/>
              </w:rPr>
              <w:t>6</w:t>
            </w:r>
          </w:p>
        </w:tc>
        <w:tc>
          <w:tcPr>
            <w:tcW w:w="2464" w:type="dxa"/>
            <w:vAlign w:val="center"/>
          </w:tcPr>
          <w:p>
            <w:pPr>
              <w:spacing w:line="400" w:lineRule="exact"/>
              <w:rPr>
                <w:rFonts w:ascii="宋体" w:hAnsi="宋体"/>
                <w:szCs w:val="21"/>
              </w:rPr>
            </w:pPr>
            <w:r>
              <w:rPr>
                <w:rFonts w:hint="eastAsia" w:ascii="宋体" w:hAnsi="宋体"/>
                <w:szCs w:val="21"/>
              </w:rPr>
              <w:t>项目出现严重安全隐患而项目无整改措施，且整改不及时</w:t>
            </w:r>
          </w:p>
        </w:tc>
        <w:tc>
          <w:tcPr>
            <w:tcW w:w="3686" w:type="dxa"/>
            <w:vAlign w:val="center"/>
          </w:tcPr>
          <w:p>
            <w:pPr>
              <w:spacing w:line="400" w:lineRule="exact"/>
              <w:rPr>
                <w:rFonts w:ascii="宋体" w:hAnsi="宋体"/>
                <w:szCs w:val="21"/>
              </w:rPr>
            </w:pPr>
            <w:r>
              <w:rPr>
                <w:rFonts w:hint="eastAsia" w:ascii="宋体" w:hAnsi="宋体"/>
                <w:szCs w:val="21"/>
              </w:rPr>
              <w:t>责令停工并罚款3000元，由直管公司强制性整改，整改产生的材料、人工、机械等费用全部由项目承担</w:t>
            </w:r>
          </w:p>
        </w:tc>
        <w:tc>
          <w:tcPr>
            <w:tcW w:w="1275" w:type="dxa"/>
            <w:vAlign w:val="center"/>
          </w:tcPr>
          <w:p>
            <w:pPr>
              <w:spacing w:line="400" w:lineRule="exact"/>
              <w:rPr>
                <w:rFonts w:ascii="宋体" w:hAnsi="宋体"/>
                <w:szCs w:val="21"/>
              </w:rPr>
            </w:pPr>
          </w:p>
        </w:tc>
        <w:tc>
          <w:tcPr>
            <w:tcW w:w="2295" w:type="dxa"/>
            <w:vAlign w:val="top"/>
          </w:tcPr>
          <w:p>
            <w:pPr>
              <w:spacing w:line="400" w:lineRule="exact"/>
              <w:rPr>
                <w:rFonts w:ascii="宋体" w:hAnsi="宋体"/>
                <w:b/>
                <w:bCs/>
                <w:sz w:val="3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8" w:hRule="atLeast"/>
        </w:trPr>
        <w:tc>
          <w:tcPr>
            <w:tcW w:w="696" w:type="dxa"/>
            <w:vMerge w:val="continue"/>
            <w:vAlign w:val="top"/>
          </w:tcPr>
          <w:p>
            <w:pPr>
              <w:spacing w:line="400" w:lineRule="exact"/>
              <w:rPr>
                <w:rFonts w:ascii="宋体" w:hAnsi="宋体"/>
                <w:szCs w:val="21"/>
              </w:rPr>
            </w:pPr>
          </w:p>
        </w:tc>
        <w:tc>
          <w:tcPr>
            <w:tcW w:w="492" w:type="dxa"/>
            <w:vAlign w:val="center"/>
          </w:tcPr>
          <w:p>
            <w:pPr>
              <w:spacing w:line="400" w:lineRule="exact"/>
              <w:jc w:val="center"/>
              <w:rPr>
                <w:rFonts w:ascii="宋体" w:hAnsi="宋体"/>
                <w:szCs w:val="21"/>
              </w:rPr>
            </w:pPr>
            <w:r>
              <w:rPr>
                <w:rFonts w:hint="eastAsia" w:ascii="宋体" w:hAnsi="宋体"/>
                <w:szCs w:val="21"/>
              </w:rPr>
              <w:t>7</w:t>
            </w:r>
          </w:p>
        </w:tc>
        <w:tc>
          <w:tcPr>
            <w:tcW w:w="2464" w:type="dxa"/>
            <w:vAlign w:val="top"/>
          </w:tcPr>
          <w:p>
            <w:pPr>
              <w:spacing w:line="400" w:lineRule="exact"/>
              <w:rPr>
                <w:rFonts w:ascii="宋体" w:hAnsi="宋体"/>
                <w:szCs w:val="21"/>
              </w:rPr>
            </w:pPr>
            <w:r>
              <w:rPr>
                <w:rFonts w:hint="eastAsia" w:ascii="宋体" w:hAnsi="宋体"/>
                <w:szCs w:val="21"/>
              </w:rPr>
              <w:t>上级主管部门下隐患停工整改通知单，无整改手续擅自复工；集团、建委、安监、建设厅、建设部上级检查受通报批评</w:t>
            </w:r>
          </w:p>
        </w:tc>
        <w:tc>
          <w:tcPr>
            <w:tcW w:w="3686" w:type="dxa"/>
            <w:vAlign w:val="center"/>
          </w:tcPr>
          <w:p>
            <w:pPr>
              <w:spacing w:line="400" w:lineRule="exact"/>
              <w:rPr>
                <w:rFonts w:ascii="宋体" w:hAnsi="宋体"/>
                <w:szCs w:val="21"/>
              </w:rPr>
            </w:pPr>
            <w:r>
              <w:rPr>
                <w:rFonts w:hint="eastAsia" w:ascii="宋体" w:hAnsi="宋体"/>
                <w:szCs w:val="21"/>
              </w:rPr>
              <w:t xml:space="preserve">擅自复工责令停工整改，并罚款2000元；责令限期整改除公司安全管理实施办法处罚外， </w:t>
            </w:r>
          </w:p>
        </w:tc>
        <w:tc>
          <w:tcPr>
            <w:tcW w:w="1275" w:type="dxa"/>
            <w:vAlign w:val="center"/>
          </w:tcPr>
          <w:p>
            <w:pPr>
              <w:spacing w:line="400" w:lineRule="exact"/>
              <w:rPr>
                <w:rFonts w:ascii="宋体" w:hAnsi="宋体"/>
                <w:b/>
                <w:bCs/>
                <w:sz w:val="32"/>
                <w:szCs w:val="21"/>
              </w:rPr>
            </w:pPr>
          </w:p>
        </w:tc>
        <w:tc>
          <w:tcPr>
            <w:tcW w:w="2295" w:type="dxa"/>
            <w:vAlign w:val="top"/>
          </w:tcPr>
          <w:p>
            <w:pPr>
              <w:spacing w:line="400" w:lineRule="exact"/>
              <w:rPr>
                <w:rFonts w:ascii="宋体" w:hAnsi="宋体"/>
                <w:b/>
                <w:bCs/>
                <w:sz w:val="32"/>
                <w:szCs w:val="21"/>
              </w:rPr>
            </w:pPr>
          </w:p>
        </w:tc>
      </w:tr>
    </w:tbl>
    <w:p>
      <w:pPr>
        <w:ind w:firstLine="480"/>
        <w:rPr>
          <w:rFonts w:ascii="楷体_GB2312" w:hAnsi="宋体" w:eastAsia="楷体_GB2312"/>
          <w:b/>
          <w:sz w:val="24"/>
        </w:rPr>
      </w:pPr>
    </w:p>
    <w:p>
      <w:pPr>
        <w:ind w:firstLine="480"/>
        <w:rPr>
          <w:rFonts w:ascii="楷体_GB2312" w:hAnsi="宋体" w:eastAsia="楷体_GB2312"/>
          <w:b/>
          <w:sz w:val="24"/>
        </w:rPr>
      </w:pPr>
    </w:p>
    <w:p>
      <w:pPr>
        <w:ind w:firstLine="480"/>
        <w:rPr>
          <w:rFonts w:ascii="楷体_GB2312" w:hAnsi="宋体" w:eastAsia="楷体_GB2312"/>
          <w:b/>
          <w:sz w:val="24"/>
        </w:rPr>
      </w:pPr>
    </w:p>
    <w:p>
      <w:pPr>
        <w:ind w:firstLine="480"/>
        <w:rPr>
          <w:rFonts w:hint="eastAsia" w:ascii="楷体_GB2312" w:hAnsi="宋体" w:eastAsia="楷体_GB2312"/>
          <w:b/>
          <w:sz w:val="24"/>
        </w:rPr>
      </w:pPr>
    </w:p>
    <w:p>
      <w:pPr>
        <w:ind w:firstLine="480"/>
        <w:rPr>
          <w:rFonts w:ascii="楷体" w:hAnsi="楷体" w:eastAsia="楷体"/>
          <w:b/>
          <w:sz w:val="28"/>
          <w:szCs w:val="28"/>
        </w:rPr>
      </w:pPr>
      <w:r>
        <w:rPr>
          <w:rFonts w:hint="eastAsia" w:ascii="楷体" w:hAnsi="楷体" w:eastAsia="楷体"/>
          <w:b/>
          <w:sz w:val="28"/>
          <w:szCs w:val="28"/>
        </w:rPr>
        <w:t>附件四</w:t>
      </w:r>
      <w:r>
        <w:rPr>
          <w:rFonts w:ascii="楷体" w:hAnsi="楷体" w:eastAsia="楷体"/>
          <w:b/>
          <w:sz w:val="28"/>
          <w:szCs w:val="28"/>
        </w:rPr>
        <w:t>承诺书</w:t>
      </w:r>
    </w:p>
    <w:p>
      <w:pPr>
        <w:adjustRightInd w:val="0"/>
        <w:snapToGrid w:val="0"/>
        <w:spacing w:line="360" w:lineRule="auto"/>
        <w:jc w:val="center"/>
        <w:rPr>
          <w:rFonts w:ascii="宋体" w:hAnsi="宋体"/>
          <w:b/>
          <w:sz w:val="36"/>
          <w:szCs w:val="24"/>
        </w:rPr>
      </w:pPr>
      <w:r>
        <w:rPr>
          <w:rFonts w:hint="eastAsia" w:ascii="宋体" w:hAnsi="宋体"/>
          <w:b/>
          <w:sz w:val="36"/>
          <w:szCs w:val="24"/>
        </w:rPr>
        <w:t>承诺书</w:t>
      </w:r>
    </w:p>
    <w:p>
      <w:pPr>
        <w:adjustRightInd w:val="0"/>
        <w:snapToGrid w:val="0"/>
        <w:spacing w:line="360" w:lineRule="auto"/>
        <w:rPr>
          <w:rFonts w:ascii="宋体" w:hAnsi="宋体"/>
          <w:sz w:val="24"/>
          <w:szCs w:val="24"/>
        </w:rPr>
      </w:pPr>
    </w:p>
    <w:p>
      <w:pPr>
        <w:adjustRightInd w:val="0"/>
        <w:snapToGrid w:val="0"/>
        <w:spacing w:line="360" w:lineRule="auto"/>
        <w:ind w:firstLine="480" w:firstLineChars="200"/>
        <w:rPr>
          <w:rFonts w:ascii="宋体" w:hAnsi="宋体"/>
          <w:sz w:val="24"/>
          <w:szCs w:val="24"/>
        </w:rPr>
      </w:pPr>
      <w:r>
        <w:rPr>
          <w:rFonts w:hint="eastAsia" w:ascii="宋体" w:hAnsi="宋体"/>
          <w:sz w:val="24"/>
          <w:szCs w:val="24"/>
        </w:rPr>
        <w:t>本人/我司承诺</w:t>
      </w:r>
      <w:r>
        <w:rPr>
          <w:rFonts w:hint="eastAsia" w:ascii="宋体" w:hAnsi="宋体"/>
          <w:sz w:val="24"/>
          <w:szCs w:val="24"/>
          <w:u w:val="single"/>
        </w:rPr>
        <w:t xml:space="preserve">_ </w:t>
      </w:r>
      <w:r>
        <w:rPr>
          <w:rFonts w:ascii="宋体" w:hAnsi="宋体"/>
          <w:sz w:val="24"/>
          <w:szCs w:val="24"/>
          <w:u w:val="single"/>
        </w:rPr>
        <w:t xml:space="preserve">    </w:t>
      </w:r>
      <w:r>
        <w:rPr>
          <w:rFonts w:hint="eastAsia" w:ascii="宋体" w:hAnsi="宋体"/>
          <w:sz w:val="24"/>
          <w:szCs w:val="24"/>
          <w:u w:val="single"/>
        </w:rPr>
        <w:t>__</w:t>
      </w:r>
      <w:r>
        <w:rPr>
          <w:rFonts w:hint="eastAsia" w:ascii="宋体" w:hAnsi="宋体"/>
          <w:sz w:val="24"/>
          <w:szCs w:val="24"/>
        </w:rPr>
        <w:t>项目完成后，</w:t>
      </w:r>
      <w:r>
        <w:rPr>
          <w:rFonts w:ascii="宋体" w:hAnsi="宋体"/>
          <w:sz w:val="24"/>
          <w:szCs w:val="24"/>
        </w:rPr>
        <w:t>将</w:t>
      </w:r>
      <w:r>
        <w:rPr>
          <w:rFonts w:hint="eastAsia" w:ascii="宋体" w:hAnsi="宋体"/>
          <w:sz w:val="24"/>
          <w:szCs w:val="24"/>
        </w:rPr>
        <w:t>以下资料原件交予公司合同管理部门，如在项目完工时尚未交齐以下__________项资料，本人/我司知晓并接受该工程结算款的暂缓支付直至合同管理部确认收齐以下资料方予以办理该工程结算款。</w:t>
      </w:r>
    </w:p>
    <w:p>
      <w:pPr>
        <w:adjustRightInd w:val="0"/>
        <w:snapToGrid w:val="0"/>
        <w:spacing w:line="360" w:lineRule="auto"/>
        <w:ind w:firstLine="480" w:firstLineChars="200"/>
        <w:rPr>
          <w:rFonts w:ascii="宋体" w:hAnsi="宋体"/>
          <w:sz w:val="24"/>
          <w:szCs w:val="24"/>
        </w:rPr>
      </w:pPr>
    </w:p>
    <w:p>
      <w:pPr>
        <w:adjustRightInd w:val="0"/>
        <w:snapToGrid w:val="0"/>
        <w:spacing w:line="360" w:lineRule="auto"/>
        <w:ind w:firstLine="480" w:firstLineChars="200"/>
        <w:rPr>
          <w:rFonts w:ascii="宋体" w:hAnsi="宋体"/>
          <w:sz w:val="24"/>
          <w:szCs w:val="24"/>
        </w:rPr>
      </w:pPr>
      <w:r>
        <w:rPr>
          <w:rFonts w:hint="eastAsia" w:ascii="宋体" w:hAnsi="宋体"/>
          <w:sz w:val="24"/>
          <w:szCs w:val="24"/>
        </w:rPr>
        <w:t>提交资料清单：</w:t>
      </w:r>
    </w:p>
    <w:p>
      <w:pPr>
        <w:pStyle w:val="12"/>
        <w:numPr>
          <w:ilvl w:val="0"/>
          <w:numId w:val="1"/>
        </w:numPr>
        <w:adjustRightInd w:val="0"/>
        <w:snapToGrid w:val="0"/>
        <w:spacing w:line="360" w:lineRule="auto"/>
        <w:ind w:firstLineChars="0"/>
        <w:rPr>
          <w:rFonts w:ascii="宋体" w:hAnsi="宋体"/>
          <w:sz w:val="24"/>
          <w:szCs w:val="24"/>
        </w:rPr>
      </w:pPr>
      <w:r>
        <w:rPr>
          <w:rFonts w:hint="eastAsia" w:ascii="宋体" w:hAnsi="宋体"/>
          <w:sz w:val="24"/>
          <w:szCs w:val="24"/>
        </w:rPr>
        <w:t>1.中标</w:t>
      </w:r>
      <w:r>
        <w:rPr>
          <w:rFonts w:ascii="宋体" w:hAnsi="宋体"/>
          <w:sz w:val="24"/>
          <w:szCs w:val="24"/>
        </w:rPr>
        <w:t>通知书</w:t>
      </w:r>
    </w:p>
    <w:p>
      <w:pPr>
        <w:pStyle w:val="12"/>
        <w:numPr>
          <w:ilvl w:val="0"/>
          <w:numId w:val="1"/>
        </w:numPr>
        <w:adjustRightInd w:val="0"/>
        <w:snapToGrid w:val="0"/>
        <w:spacing w:line="360" w:lineRule="auto"/>
        <w:ind w:firstLineChars="0"/>
        <w:rPr>
          <w:rFonts w:ascii="宋体" w:hAnsi="宋体"/>
          <w:sz w:val="24"/>
          <w:szCs w:val="24"/>
        </w:rPr>
      </w:pPr>
      <w:r>
        <w:rPr>
          <w:rFonts w:hint="eastAsia" w:ascii="宋体" w:hAnsi="宋体"/>
          <w:sz w:val="24"/>
          <w:szCs w:val="24"/>
        </w:rPr>
        <w:t>2.施工</w:t>
      </w:r>
      <w:r>
        <w:rPr>
          <w:rFonts w:ascii="宋体" w:hAnsi="宋体"/>
          <w:sz w:val="24"/>
          <w:szCs w:val="24"/>
        </w:rPr>
        <w:t>合同</w:t>
      </w:r>
      <w:r>
        <w:rPr>
          <w:rFonts w:hint="eastAsia" w:ascii="宋体" w:hAnsi="宋体"/>
          <w:sz w:val="24"/>
          <w:szCs w:val="24"/>
          <w:u w:val="single"/>
        </w:rPr>
        <w:t xml:space="preserve">   </w:t>
      </w:r>
      <w:r>
        <w:rPr>
          <w:rFonts w:hint="eastAsia" w:ascii="宋体" w:hAnsi="宋体"/>
          <w:sz w:val="24"/>
          <w:szCs w:val="24"/>
        </w:rPr>
        <w:t>份</w:t>
      </w:r>
    </w:p>
    <w:p>
      <w:pPr>
        <w:pStyle w:val="12"/>
        <w:numPr>
          <w:ilvl w:val="0"/>
          <w:numId w:val="1"/>
        </w:numPr>
        <w:adjustRightInd w:val="0"/>
        <w:snapToGrid w:val="0"/>
        <w:spacing w:line="360" w:lineRule="auto"/>
        <w:ind w:firstLineChars="0"/>
        <w:rPr>
          <w:rFonts w:ascii="宋体" w:hAnsi="宋体"/>
          <w:sz w:val="24"/>
          <w:szCs w:val="24"/>
        </w:rPr>
      </w:pPr>
      <w:r>
        <w:rPr>
          <w:rFonts w:hint="eastAsia" w:ascii="宋体" w:hAnsi="宋体"/>
          <w:sz w:val="24"/>
          <w:szCs w:val="24"/>
        </w:rPr>
        <w:t>3.竣工</w:t>
      </w:r>
      <w:r>
        <w:rPr>
          <w:rFonts w:ascii="宋体" w:hAnsi="宋体"/>
          <w:sz w:val="24"/>
          <w:szCs w:val="24"/>
        </w:rPr>
        <w:t>验收报告</w:t>
      </w:r>
    </w:p>
    <w:p>
      <w:pPr>
        <w:pStyle w:val="12"/>
        <w:numPr>
          <w:ilvl w:val="0"/>
          <w:numId w:val="1"/>
        </w:numPr>
        <w:adjustRightInd w:val="0"/>
        <w:snapToGrid w:val="0"/>
        <w:spacing w:line="360" w:lineRule="auto"/>
        <w:ind w:firstLineChars="0"/>
        <w:rPr>
          <w:rFonts w:ascii="宋体" w:hAnsi="宋体"/>
          <w:sz w:val="24"/>
          <w:szCs w:val="24"/>
        </w:rPr>
      </w:pPr>
      <w:r>
        <w:rPr>
          <w:rFonts w:hint="eastAsia" w:ascii="宋体" w:hAnsi="宋体"/>
          <w:sz w:val="24"/>
          <w:szCs w:val="24"/>
        </w:rPr>
        <w:t>4.工程</w:t>
      </w:r>
      <w:r>
        <w:rPr>
          <w:rFonts w:ascii="宋体" w:hAnsi="宋体"/>
          <w:sz w:val="24"/>
          <w:szCs w:val="24"/>
        </w:rPr>
        <w:t>结算书</w:t>
      </w:r>
    </w:p>
    <w:p>
      <w:pPr>
        <w:pStyle w:val="12"/>
        <w:numPr>
          <w:ilvl w:val="0"/>
          <w:numId w:val="1"/>
        </w:numPr>
        <w:adjustRightInd w:val="0"/>
        <w:snapToGrid w:val="0"/>
        <w:spacing w:line="360" w:lineRule="auto"/>
        <w:ind w:firstLineChars="0"/>
        <w:rPr>
          <w:rFonts w:ascii="宋体" w:hAnsi="宋体"/>
          <w:sz w:val="24"/>
          <w:szCs w:val="24"/>
        </w:rPr>
      </w:pPr>
      <w:r>
        <w:rPr>
          <w:rFonts w:hint="eastAsia" w:ascii="宋体" w:hAnsi="宋体"/>
          <w:sz w:val="24"/>
          <w:szCs w:val="24"/>
        </w:rPr>
        <w:t>5.开工</w:t>
      </w:r>
      <w:r>
        <w:rPr>
          <w:rFonts w:ascii="宋体" w:hAnsi="宋体"/>
          <w:sz w:val="24"/>
          <w:szCs w:val="24"/>
        </w:rPr>
        <w:t>令</w:t>
      </w:r>
      <w:r>
        <w:rPr>
          <w:rFonts w:hint="eastAsia" w:ascii="宋体" w:hAnsi="宋体"/>
          <w:sz w:val="24"/>
          <w:szCs w:val="24"/>
        </w:rPr>
        <w:t>/开工</w:t>
      </w:r>
      <w:r>
        <w:rPr>
          <w:rFonts w:ascii="宋体" w:hAnsi="宋体"/>
          <w:sz w:val="24"/>
          <w:szCs w:val="24"/>
        </w:rPr>
        <w:t>报告</w:t>
      </w:r>
    </w:p>
    <w:p>
      <w:pPr>
        <w:pStyle w:val="12"/>
        <w:numPr>
          <w:ilvl w:val="0"/>
          <w:numId w:val="1"/>
        </w:numPr>
        <w:adjustRightInd w:val="0"/>
        <w:snapToGrid w:val="0"/>
        <w:spacing w:line="360" w:lineRule="auto"/>
        <w:ind w:firstLineChars="0"/>
        <w:rPr>
          <w:rFonts w:ascii="宋体" w:hAnsi="宋体"/>
          <w:sz w:val="24"/>
          <w:szCs w:val="24"/>
        </w:rPr>
      </w:pPr>
      <w:r>
        <w:rPr>
          <w:rFonts w:hint="eastAsia" w:ascii="宋体" w:hAnsi="宋体"/>
          <w:sz w:val="24"/>
          <w:szCs w:val="24"/>
        </w:rPr>
        <w:t>6.施工</w:t>
      </w:r>
      <w:r>
        <w:rPr>
          <w:rFonts w:ascii="宋体" w:hAnsi="宋体"/>
          <w:sz w:val="24"/>
          <w:szCs w:val="24"/>
        </w:rPr>
        <w:t>许可证</w:t>
      </w:r>
    </w:p>
    <w:p>
      <w:pPr>
        <w:pStyle w:val="12"/>
        <w:numPr>
          <w:ilvl w:val="0"/>
          <w:numId w:val="1"/>
        </w:numPr>
        <w:adjustRightInd w:val="0"/>
        <w:snapToGrid w:val="0"/>
        <w:spacing w:line="360" w:lineRule="auto"/>
        <w:ind w:firstLineChars="0"/>
        <w:rPr>
          <w:rFonts w:ascii="宋体" w:hAnsi="宋体"/>
          <w:sz w:val="24"/>
          <w:szCs w:val="24"/>
        </w:rPr>
      </w:pPr>
      <w:r>
        <w:rPr>
          <w:rFonts w:hint="eastAsia" w:ascii="宋体" w:hAnsi="宋体"/>
          <w:sz w:val="24"/>
          <w:szCs w:val="24"/>
        </w:rPr>
        <w:t>7.履约</w:t>
      </w:r>
      <w:r>
        <w:rPr>
          <w:rFonts w:ascii="宋体" w:hAnsi="宋体"/>
          <w:sz w:val="24"/>
          <w:szCs w:val="24"/>
        </w:rPr>
        <w:t>评价</w:t>
      </w:r>
    </w:p>
    <w:p>
      <w:pPr>
        <w:adjustRightInd w:val="0"/>
        <w:snapToGrid w:val="0"/>
        <w:spacing w:line="360" w:lineRule="auto"/>
        <w:rPr>
          <w:rFonts w:ascii="宋体" w:hAnsi="宋体"/>
          <w:sz w:val="24"/>
          <w:szCs w:val="24"/>
        </w:rPr>
      </w:pPr>
    </w:p>
    <w:p>
      <w:pPr>
        <w:adjustRightInd w:val="0"/>
        <w:snapToGrid w:val="0"/>
        <w:spacing w:line="360" w:lineRule="auto"/>
        <w:rPr>
          <w:rFonts w:ascii="宋体" w:hAnsi="宋体"/>
          <w:sz w:val="24"/>
          <w:szCs w:val="24"/>
        </w:rPr>
      </w:pPr>
      <w:r>
        <w:rPr>
          <w:rFonts w:hint="eastAsia" w:ascii="宋体" w:hAnsi="宋体"/>
          <w:sz w:val="24"/>
          <w:szCs w:val="24"/>
        </w:rPr>
        <w:t xml:space="preserve">                                                承诺人：（签字）</w:t>
      </w:r>
    </w:p>
    <w:p>
      <w:pPr>
        <w:adjustRightInd w:val="0"/>
        <w:snapToGrid w:val="0"/>
        <w:spacing w:line="360" w:lineRule="auto"/>
        <w:rPr>
          <w:rFonts w:ascii="宋体" w:hAnsi="宋体"/>
          <w:sz w:val="24"/>
          <w:szCs w:val="24"/>
        </w:rPr>
      </w:pPr>
      <w:r>
        <w:rPr>
          <w:rFonts w:hint="eastAsia" w:ascii="宋体" w:hAnsi="宋体"/>
          <w:sz w:val="24"/>
          <w:szCs w:val="24"/>
        </w:rPr>
        <w:t xml:space="preserve">                                                       （指印）</w:t>
      </w:r>
    </w:p>
    <w:p>
      <w:pPr>
        <w:adjustRightInd w:val="0"/>
        <w:snapToGrid w:val="0"/>
        <w:spacing w:line="360" w:lineRule="auto"/>
        <w:ind w:firstLine="5760" w:firstLineChars="2400"/>
        <w:rPr>
          <w:rFonts w:ascii="宋体" w:hAnsi="宋体"/>
          <w:sz w:val="24"/>
          <w:szCs w:val="24"/>
        </w:rPr>
      </w:pPr>
      <w:r>
        <w:rPr>
          <w:rFonts w:hint="eastAsia" w:ascii="宋体" w:hAnsi="宋体"/>
          <w:sz w:val="24"/>
          <w:szCs w:val="24"/>
        </w:rPr>
        <w:t>日 期：</w:t>
      </w:r>
    </w:p>
    <w:p>
      <w:pPr>
        <w:ind w:firstLine="480"/>
        <w:rPr>
          <w:rFonts w:hint="eastAsia" w:ascii="楷体" w:hAnsi="楷体" w:eastAsia="楷体"/>
          <w:b/>
          <w:sz w:val="28"/>
          <w:szCs w:val="28"/>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1" w:usb1="080E0000" w:usb2="00000010" w:usb3="00000000" w:csb0="0004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B10EC"/>
    <w:multiLevelType w:val="multilevel"/>
    <w:tmpl w:val="0D0B10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c">
    <w15:presenceInfo w15:providerId="None" w15:userId="m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6FE"/>
    <w:rsid w:val="00035761"/>
    <w:rsid w:val="00047874"/>
    <w:rsid w:val="000512C9"/>
    <w:rsid w:val="00051D93"/>
    <w:rsid w:val="0005202A"/>
    <w:rsid w:val="0006176C"/>
    <w:rsid w:val="00074AD0"/>
    <w:rsid w:val="000831FC"/>
    <w:rsid w:val="000844C1"/>
    <w:rsid w:val="00086E07"/>
    <w:rsid w:val="00087D56"/>
    <w:rsid w:val="0009216B"/>
    <w:rsid w:val="00096324"/>
    <w:rsid w:val="000A10B4"/>
    <w:rsid w:val="000A2FBA"/>
    <w:rsid w:val="000A55E6"/>
    <w:rsid w:val="000B2346"/>
    <w:rsid w:val="000B6072"/>
    <w:rsid w:val="000D151F"/>
    <w:rsid w:val="000E0293"/>
    <w:rsid w:val="000E41C3"/>
    <w:rsid w:val="000F35EE"/>
    <w:rsid w:val="00102CED"/>
    <w:rsid w:val="0010363F"/>
    <w:rsid w:val="00103C30"/>
    <w:rsid w:val="00113F07"/>
    <w:rsid w:val="001234C4"/>
    <w:rsid w:val="00124D20"/>
    <w:rsid w:val="00140BF2"/>
    <w:rsid w:val="001545A9"/>
    <w:rsid w:val="00161CAD"/>
    <w:rsid w:val="00166457"/>
    <w:rsid w:val="00172A27"/>
    <w:rsid w:val="00183EE1"/>
    <w:rsid w:val="00190F03"/>
    <w:rsid w:val="00191A93"/>
    <w:rsid w:val="001923F1"/>
    <w:rsid w:val="00192900"/>
    <w:rsid w:val="001A01E6"/>
    <w:rsid w:val="001A4052"/>
    <w:rsid w:val="001A529B"/>
    <w:rsid w:val="001A6689"/>
    <w:rsid w:val="001A6F8B"/>
    <w:rsid w:val="001B0E70"/>
    <w:rsid w:val="001B1EC3"/>
    <w:rsid w:val="001D05E7"/>
    <w:rsid w:val="001D6905"/>
    <w:rsid w:val="001E4C22"/>
    <w:rsid w:val="001E662F"/>
    <w:rsid w:val="001F42D7"/>
    <w:rsid w:val="001F6B48"/>
    <w:rsid w:val="00204BE7"/>
    <w:rsid w:val="00232CA9"/>
    <w:rsid w:val="00235683"/>
    <w:rsid w:val="00252F9D"/>
    <w:rsid w:val="00253655"/>
    <w:rsid w:val="00255772"/>
    <w:rsid w:val="00255B75"/>
    <w:rsid w:val="00255E4B"/>
    <w:rsid w:val="002560CC"/>
    <w:rsid w:val="00257203"/>
    <w:rsid w:val="00270794"/>
    <w:rsid w:val="0027150F"/>
    <w:rsid w:val="002734E9"/>
    <w:rsid w:val="002807DF"/>
    <w:rsid w:val="00291FFE"/>
    <w:rsid w:val="002971CC"/>
    <w:rsid w:val="002A2F6A"/>
    <w:rsid w:val="002A71D7"/>
    <w:rsid w:val="002B02D2"/>
    <w:rsid w:val="002B2A6E"/>
    <w:rsid w:val="002B502B"/>
    <w:rsid w:val="002B50CB"/>
    <w:rsid w:val="002C00F4"/>
    <w:rsid w:val="002C4B0C"/>
    <w:rsid w:val="002C7F80"/>
    <w:rsid w:val="002D7F9B"/>
    <w:rsid w:val="0030314A"/>
    <w:rsid w:val="00313207"/>
    <w:rsid w:val="00324D64"/>
    <w:rsid w:val="00327E3B"/>
    <w:rsid w:val="0034730B"/>
    <w:rsid w:val="0035348C"/>
    <w:rsid w:val="00371BE6"/>
    <w:rsid w:val="00375160"/>
    <w:rsid w:val="003A0C72"/>
    <w:rsid w:val="003A15C9"/>
    <w:rsid w:val="003A77BB"/>
    <w:rsid w:val="003C09DC"/>
    <w:rsid w:val="003C0A01"/>
    <w:rsid w:val="003E4655"/>
    <w:rsid w:val="0040524C"/>
    <w:rsid w:val="00407E3A"/>
    <w:rsid w:val="004175ED"/>
    <w:rsid w:val="004369BF"/>
    <w:rsid w:val="004545D5"/>
    <w:rsid w:val="00463D4A"/>
    <w:rsid w:val="00465512"/>
    <w:rsid w:val="00471675"/>
    <w:rsid w:val="00474BC0"/>
    <w:rsid w:val="00477D58"/>
    <w:rsid w:val="00484888"/>
    <w:rsid w:val="00492645"/>
    <w:rsid w:val="004A683B"/>
    <w:rsid w:val="004B445C"/>
    <w:rsid w:val="004B454C"/>
    <w:rsid w:val="004B7FE7"/>
    <w:rsid w:val="004C2D54"/>
    <w:rsid w:val="004C64DF"/>
    <w:rsid w:val="004C6E25"/>
    <w:rsid w:val="004C758F"/>
    <w:rsid w:val="004C768E"/>
    <w:rsid w:val="004D019B"/>
    <w:rsid w:val="004D2376"/>
    <w:rsid w:val="004D23E9"/>
    <w:rsid w:val="004E3CC1"/>
    <w:rsid w:val="004F1BF2"/>
    <w:rsid w:val="00503B54"/>
    <w:rsid w:val="0051432F"/>
    <w:rsid w:val="005270F0"/>
    <w:rsid w:val="005313EB"/>
    <w:rsid w:val="00537EAC"/>
    <w:rsid w:val="005420E7"/>
    <w:rsid w:val="00547C5E"/>
    <w:rsid w:val="005613BB"/>
    <w:rsid w:val="00561972"/>
    <w:rsid w:val="00561D24"/>
    <w:rsid w:val="00571387"/>
    <w:rsid w:val="00581858"/>
    <w:rsid w:val="00585815"/>
    <w:rsid w:val="005A4D0B"/>
    <w:rsid w:val="005B09AB"/>
    <w:rsid w:val="005B3FCE"/>
    <w:rsid w:val="005B71EC"/>
    <w:rsid w:val="005C1ADC"/>
    <w:rsid w:val="005C2205"/>
    <w:rsid w:val="005C55AF"/>
    <w:rsid w:val="005D0BC0"/>
    <w:rsid w:val="005D5B00"/>
    <w:rsid w:val="005E595E"/>
    <w:rsid w:val="005E6C9C"/>
    <w:rsid w:val="005F78BB"/>
    <w:rsid w:val="00604AD3"/>
    <w:rsid w:val="006057CD"/>
    <w:rsid w:val="006114D5"/>
    <w:rsid w:val="006174DC"/>
    <w:rsid w:val="00620166"/>
    <w:rsid w:val="00624587"/>
    <w:rsid w:val="00625FE8"/>
    <w:rsid w:val="00633C21"/>
    <w:rsid w:val="00634484"/>
    <w:rsid w:val="0064339B"/>
    <w:rsid w:val="0064501F"/>
    <w:rsid w:val="00646388"/>
    <w:rsid w:val="0064690F"/>
    <w:rsid w:val="00660410"/>
    <w:rsid w:val="00660867"/>
    <w:rsid w:val="006675F0"/>
    <w:rsid w:val="00673342"/>
    <w:rsid w:val="006736B0"/>
    <w:rsid w:val="00685567"/>
    <w:rsid w:val="0069449B"/>
    <w:rsid w:val="006A53EF"/>
    <w:rsid w:val="006A5780"/>
    <w:rsid w:val="006C0E57"/>
    <w:rsid w:val="006D5544"/>
    <w:rsid w:val="006E1755"/>
    <w:rsid w:val="006E6DBA"/>
    <w:rsid w:val="006F6E9F"/>
    <w:rsid w:val="007218E4"/>
    <w:rsid w:val="00724962"/>
    <w:rsid w:val="00727628"/>
    <w:rsid w:val="00732C41"/>
    <w:rsid w:val="007339EB"/>
    <w:rsid w:val="00756FD2"/>
    <w:rsid w:val="00770D4F"/>
    <w:rsid w:val="00776353"/>
    <w:rsid w:val="007855C2"/>
    <w:rsid w:val="00786DA1"/>
    <w:rsid w:val="007903EC"/>
    <w:rsid w:val="007922F6"/>
    <w:rsid w:val="007A0DAF"/>
    <w:rsid w:val="007B2D95"/>
    <w:rsid w:val="007B2F2F"/>
    <w:rsid w:val="007B3974"/>
    <w:rsid w:val="007D4050"/>
    <w:rsid w:val="007F0C62"/>
    <w:rsid w:val="007F3FE2"/>
    <w:rsid w:val="00800595"/>
    <w:rsid w:val="00804DA2"/>
    <w:rsid w:val="0080529C"/>
    <w:rsid w:val="008223D3"/>
    <w:rsid w:val="008245BB"/>
    <w:rsid w:val="008255B5"/>
    <w:rsid w:val="00834968"/>
    <w:rsid w:val="00835CAB"/>
    <w:rsid w:val="00837241"/>
    <w:rsid w:val="00844123"/>
    <w:rsid w:val="00850012"/>
    <w:rsid w:val="0086224C"/>
    <w:rsid w:val="0086661A"/>
    <w:rsid w:val="008677AB"/>
    <w:rsid w:val="00870345"/>
    <w:rsid w:val="008712A3"/>
    <w:rsid w:val="00874967"/>
    <w:rsid w:val="008773B1"/>
    <w:rsid w:val="00881E07"/>
    <w:rsid w:val="008854FB"/>
    <w:rsid w:val="008929DD"/>
    <w:rsid w:val="00893B10"/>
    <w:rsid w:val="008A40B6"/>
    <w:rsid w:val="008A48AF"/>
    <w:rsid w:val="008B297D"/>
    <w:rsid w:val="008B573F"/>
    <w:rsid w:val="008C08E9"/>
    <w:rsid w:val="008C24E2"/>
    <w:rsid w:val="008C27A0"/>
    <w:rsid w:val="008E4916"/>
    <w:rsid w:val="00901070"/>
    <w:rsid w:val="00905906"/>
    <w:rsid w:val="009166BA"/>
    <w:rsid w:val="00916DFB"/>
    <w:rsid w:val="0092301C"/>
    <w:rsid w:val="00925388"/>
    <w:rsid w:val="0094215B"/>
    <w:rsid w:val="0094216B"/>
    <w:rsid w:val="00947BBE"/>
    <w:rsid w:val="009566C6"/>
    <w:rsid w:val="00963D9F"/>
    <w:rsid w:val="009748DD"/>
    <w:rsid w:val="009754A6"/>
    <w:rsid w:val="0097762F"/>
    <w:rsid w:val="009903D8"/>
    <w:rsid w:val="00994DBF"/>
    <w:rsid w:val="009A7E91"/>
    <w:rsid w:val="009B0133"/>
    <w:rsid w:val="009B5C13"/>
    <w:rsid w:val="009C2429"/>
    <w:rsid w:val="009D730A"/>
    <w:rsid w:val="009E0EF0"/>
    <w:rsid w:val="00A007AC"/>
    <w:rsid w:val="00A0636A"/>
    <w:rsid w:val="00A16CA3"/>
    <w:rsid w:val="00A35FBE"/>
    <w:rsid w:val="00A36E9E"/>
    <w:rsid w:val="00A40BF1"/>
    <w:rsid w:val="00A41318"/>
    <w:rsid w:val="00A56149"/>
    <w:rsid w:val="00A613F5"/>
    <w:rsid w:val="00A67D50"/>
    <w:rsid w:val="00A81D7F"/>
    <w:rsid w:val="00A86E36"/>
    <w:rsid w:val="00A964E5"/>
    <w:rsid w:val="00A96F9E"/>
    <w:rsid w:val="00AA5F10"/>
    <w:rsid w:val="00AA6AEA"/>
    <w:rsid w:val="00AC1264"/>
    <w:rsid w:val="00AC66DE"/>
    <w:rsid w:val="00AC78E1"/>
    <w:rsid w:val="00AD02DB"/>
    <w:rsid w:val="00AD1D6E"/>
    <w:rsid w:val="00AD2583"/>
    <w:rsid w:val="00AD54C4"/>
    <w:rsid w:val="00AD7F47"/>
    <w:rsid w:val="00AE1DFE"/>
    <w:rsid w:val="00AE2553"/>
    <w:rsid w:val="00AE2CB0"/>
    <w:rsid w:val="00AE2D4F"/>
    <w:rsid w:val="00AF0314"/>
    <w:rsid w:val="00AF25FB"/>
    <w:rsid w:val="00AF301A"/>
    <w:rsid w:val="00B04D3C"/>
    <w:rsid w:val="00B06E14"/>
    <w:rsid w:val="00B10C76"/>
    <w:rsid w:val="00B1273D"/>
    <w:rsid w:val="00B2424B"/>
    <w:rsid w:val="00B32FAB"/>
    <w:rsid w:val="00B335FB"/>
    <w:rsid w:val="00B411C2"/>
    <w:rsid w:val="00B411E2"/>
    <w:rsid w:val="00B53367"/>
    <w:rsid w:val="00B554AA"/>
    <w:rsid w:val="00B55DB6"/>
    <w:rsid w:val="00B6496B"/>
    <w:rsid w:val="00B67086"/>
    <w:rsid w:val="00B71011"/>
    <w:rsid w:val="00B742AD"/>
    <w:rsid w:val="00B94AB0"/>
    <w:rsid w:val="00BA21C5"/>
    <w:rsid w:val="00BB17CB"/>
    <w:rsid w:val="00BB4D3F"/>
    <w:rsid w:val="00BC7D5D"/>
    <w:rsid w:val="00BD4710"/>
    <w:rsid w:val="00BF047F"/>
    <w:rsid w:val="00BF0C53"/>
    <w:rsid w:val="00BF26F6"/>
    <w:rsid w:val="00BF3CCB"/>
    <w:rsid w:val="00C00DF6"/>
    <w:rsid w:val="00C033EF"/>
    <w:rsid w:val="00C113A0"/>
    <w:rsid w:val="00C12AD0"/>
    <w:rsid w:val="00C140DE"/>
    <w:rsid w:val="00C2742F"/>
    <w:rsid w:val="00C27F94"/>
    <w:rsid w:val="00C31C71"/>
    <w:rsid w:val="00C4117A"/>
    <w:rsid w:val="00C42CD8"/>
    <w:rsid w:val="00C51A6E"/>
    <w:rsid w:val="00C544B5"/>
    <w:rsid w:val="00C569B4"/>
    <w:rsid w:val="00C60E44"/>
    <w:rsid w:val="00C7253A"/>
    <w:rsid w:val="00C84134"/>
    <w:rsid w:val="00C96821"/>
    <w:rsid w:val="00C96FB7"/>
    <w:rsid w:val="00CA4FDC"/>
    <w:rsid w:val="00CC452C"/>
    <w:rsid w:val="00CD3D40"/>
    <w:rsid w:val="00CD4361"/>
    <w:rsid w:val="00CE6F13"/>
    <w:rsid w:val="00CE7916"/>
    <w:rsid w:val="00CF3314"/>
    <w:rsid w:val="00CF4CEE"/>
    <w:rsid w:val="00CF75B9"/>
    <w:rsid w:val="00CF78B1"/>
    <w:rsid w:val="00D04C9D"/>
    <w:rsid w:val="00D06FEA"/>
    <w:rsid w:val="00D273DB"/>
    <w:rsid w:val="00D3756D"/>
    <w:rsid w:val="00D403AC"/>
    <w:rsid w:val="00D409EB"/>
    <w:rsid w:val="00D43452"/>
    <w:rsid w:val="00D75F9F"/>
    <w:rsid w:val="00D86297"/>
    <w:rsid w:val="00D94EEA"/>
    <w:rsid w:val="00D9641E"/>
    <w:rsid w:val="00D97CA8"/>
    <w:rsid w:val="00DA1A4F"/>
    <w:rsid w:val="00DA1B8D"/>
    <w:rsid w:val="00DA3A01"/>
    <w:rsid w:val="00DA4B0E"/>
    <w:rsid w:val="00DA78A7"/>
    <w:rsid w:val="00DB2796"/>
    <w:rsid w:val="00DB3051"/>
    <w:rsid w:val="00DB680B"/>
    <w:rsid w:val="00DC3E79"/>
    <w:rsid w:val="00DC5B79"/>
    <w:rsid w:val="00DE3124"/>
    <w:rsid w:val="00DF3C66"/>
    <w:rsid w:val="00DF760A"/>
    <w:rsid w:val="00E02E07"/>
    <w:rsid w:val="00E102FA"/>
    <w:rsid w:val="00E25B13"/>
    <w:rsid w:val="00E31155"/>
    <w:rsid w:val="00E3229D"/>
    <w:rsid w:val="00E542F5"/>
    <w:rsid w:val="00E555D9"/>
    <w:rsid w:val="00E676B6"/>
    <w:rsid w:val="00E72A76"/>
    <w:rsid w:val="00E80192"/>
    <w:rsid w:val="00E82EB7"/>
    <w:rsid w:val="00E939AA"/>
    <w:rsid w:val="00E95D89"/>
    <w:rsid w:val="00E9612F"/>
    <w:rsid w:val="00EA42FE"/>
    <w:rsid w:val="00EA5FDC"/>
    <w:rsid w:val="00EB55F9"/>
    <w:rsid w:val="00EB59A4"/>
    <w:rsid w:val="00EB64A4"/>
    <w:rsid w:val="00EC31FB"/>
    <w:rsid w:val="00ED5F78"/>
    <w:rsid w:val="00EE1FAF"/>
    <w:rsid w:val="00EE2AF3"/>
    <w:rsid w:val="00F00704"/>
    <w:rsid w:val="00F0224D"/>
    <w:rsid w:val="00F02E23"/>
    <w:rsid w:val="00F037DC"/>
    <w:rsid w:val="00F132BE"/>
    <w:rsid w:val="00F1775F"/>
    <w:rsid w:val="00F2244C"/>
    <w:rsid w:val="00F2632C"/>
    <w:rsid w:val="00F33823"/>
    <w:rsid w:val="00F40151"/>
    <w:rsid w:val="00F40CF9"/>
    <w:rsid w:val="00F51BB1"/>
    <w:rsid w:val="00F5415D"/>
    <w:rsid w:val="00F545B8"/>
    <w:rsid w:val="00F5700A"/>
    <w:rsid w:val="00F61091"/>
    <w:rsid w:val="00F65A25"/>
    <w:rsid w:val="00F833BC"/>
    <w:rsid w:val="00F851BC"/>
    <w:rsid w:val="00F91484"/>
    <w:rsid w:val="00F9335A"/>
    <w:rsid w:val="00FA6103"/>
    <w:rsid w:val="00FB70F6"/>
    <w:rsid w:val="00FB78F9"/>
    <w:rsid w:val="00FC1392"/>
    <w:rsid w:val="00FC2434"/>
    <w:rsid w:val="00FD02D4"/>
    <w:rsid w:val="00FE0B86"/>
    <w:rsid w:val="00FE5637"/>
    <w:rsid w:val="00FF0541"/>
    <w:rsid w:val="00FF569F"/>
    <w:rsid w:val="03EB50FA"/>
    <w:rsid w:val="04F05DE5"/>
    <w:rsid w:val="08704BDF"/>
    <w:rsid w:val="0B3C265A"/>
    <w:rsid w:val="0D68771F"/>
    <w:rsid w:val="0E1919B2"/>
    <w:rsid w:val="172F6AC5"/>
    <w:rsid w:val="176C42D0"/>
    <w:rsid w:val="18C5352B"/>
    <w:rsid w:val="235B4D4B"/>
    <w:rsid w:val="30617B1A"/>
    <w:rsid w:val="32E00C87"/>
    <w:rsid w:val="363710AC"/>
    <w:rsid w:val="376404EB"/>
    <w:rsid w:val="3BB92B23"/>
    <w:rsid w:val="492435AB"/>
    <w:rsid w:val="4E8E4941"/>
    <w:rsid w:val="543D6816"/>
    <w:rsid w:val="564B3523"/>
    <w:rsid w:val="5E9F4080"/>
    <w:rsid w:val="5FC23E89"/>
    <w:rsid w:val="61D37C8C"/>
    <w:rsid w:val="620D6B6D"/>
    <w:rsid w:val="62731397"/>
    <w:rsid w:val="665D02AC"/>
    <w:rsid w:val="733E1697"/>
    <w:rsid w:val="76FB26C3"/>
    <w:rsid w:val="7B9030C7"/>
    <w:rsid w:val="7FF31FF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8">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annotation text"/>
    <w:basedOn w:val="1"/>
    <w:uiPriority w:val="0"/>
    <w:pPr>
      <w:jc w:val="left"/>
    </w:pPr>
  </w:style>
  <w:style w:type="paragraph" w:styleId="4">
    <w:name w:val="Body Text Indent"/>
    <w:basedOn w:val="1"/>
    <w:uiPriority w:val="0"/>
    <w:pPr>
      <w:suppressAutoHyphens/>
      <w:spacing w:line="460" w:lineRule="exact"/>
      <w:ind w:firstLine="560" w:firstLineChars="200"/>
    </w:pPr>
    <w:rPr>
      <w:rFonts w:ascii="仿宋_GB2312" w:hAnsi="宋体" w:eastAsia="仿宋_GB2312"/>
      <w:color w:val="000000"/>
      <w:kern w:val="1"/>
      <w:sz w:val="28"/>
      <w:lang w:eastAsia="ar-SA"/>
    </w:rPr>
  </w:style>
  <w:style w:type="paragraph" w:styleId="5">
    <w:name w:val="Balloon Text"/>
    <w:basedOn w:val="1"/>
    <w:link w:val="13"/>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0">
    <w:name w:val="Table Grid"/>
    <w:basedOn w:val="9"/>
    <w:uiPriority w:val="0"/>
    <w:tblPr>
      <w:tblStyle w:val="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1">
    <w:name w:val="默认段落字体 Para Char Char Char Char Char Char Char"/>
    <w:basedOn w:val="1"/>
    <w:uiPriority w:val="0"/>
    <w:pPr>
      <w:tabs>
        <w:tab w:val="right" w:pos="-2120"/>
      </w:tabs>
      <w:snapToGrid w:val="0"/>
    </w:pPr>
    <w:rPr>
      <w:rFonts w:ascii="Tahoma" w:hAnsi="Tahoma"/>
      <w:spacing w:val="6"/>
      <w:sz w:val="24"/>
    </w:rPr>
  </w:style>
  <w:style w:type="paragraph" w:styleId="12">
    <w:name w:val="List Paragraph"/>
    <w:basedOn w:val="1"/>
    <w:qFormat/>
    <w:uiPriority w:val="34"/>
    <w:pPr>
      <w:ind w:firstLine="420" w:firstLineChars="200"/>
    </w:pPr>
    <w:rPr>
      <w:rFonts w:ascii="Calibri" w:hAnsi="Calibri" w:eastAsia="宋体" w:cs="Times New Roman"/>
      <w:szCs w:val="22"/>
    </w:rPr>
  </w:style>
  <w:style w:type="character" w:customStyle="1" w:styleId="13">
    <w:name w:val="批注框文本 Char"/>
    <w:link w:val="5"/>
    <w:uiPriority w:val="0"/>
    <w:rPr>
      <w:kern w:val="2"/>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11</Pages>
  <Words>1716</Words>
  <Characters>9786</Characters>
  <Lines>81</Lines>
  <Paragraphs>22</Paragraphs>
  <ScaleCrop>false</ScaleCrop>
  <LinksUpToDate>false</LinksUpToDate>
  <CharactersWithSpaces>11480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2017-09-07T03:25:00Z</dcterms:created>
  <dc:creator>Sky123.Org</dc:creator>
  <cp:lastModifiedBy>zzz</cp:lastModifiedBy>
  <cp:lastPrinted>2017-08-19T01:30:00Z</cp:lastPrinted>
  <dcterms:modified xsi:type="dcterms:W3CDTF">2018-05-29T03:38:54Z</dcterms:modified>
  <dc:title>内部承包协议</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_DocHome">
    <vt:r8>-602012859</vt:r8>
  </property>
</Properties>
</file>