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eastAsia="zh-CN"/>
        </w:rPr>
        <w:t>贝叶斯网络实现</w:t>
      </w: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-遮挡的判断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网络结构图</w:t>
      </w:r>
    </w:p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4505325"/>
            <wp:effectExtent l="0" t="0" r="9525" b="9525"/>
            <wp:docPr id="1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参数的离散化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离散率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采用等频离散，将离散率分为三类，分别用R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,R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,R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表示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27" o:spt="75" type="#_x0000_t75" style="height:17pt;width:7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28" o:spt="75" alt="" type="#_x0000_t75" style="height:17pt;width:1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2"/>
          <w:lang w:val="en-US" w:eastAsia="zh-CN"/>
        </w:rPr>
        <w:object>
          <v:shape id="_x0000_i1029" o:spt="75" alt="" type="#_x0000_t75" style="height:18pt;width:1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64970" cy="741045"/>
            <wp:effectExtent l="0" t="0" r="11430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6727" r="11058" b="4505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8675" cy="1316990"/>
            <wp:effectExtent l="0" t="0" r="3175" b="165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发电水平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对原始等频离散进行改良，将四段等频离散合并为三类,分别用L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,L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,L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表示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34" o:spt="75" alt="" type="#_x0000_t75" style="height:17pt;width:8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3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35" o:spt="75" alt="" type="#_x0000_t75" style="height:17pt;width:12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5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position w:val="-12"/>
          <w:lang w:val="en-US" w:eastAsia="zh-CN"/>
        </w:rPr>
        <w:object>
          <v:shape id="_x0000_i1036" o:spt="75" alt="" type="#_x0000_t75" style="height:18pt;width:8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7630" cy="672465"/>
            <wp:effectExtent l="0" t="0" r="13970" b="13335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871595" cy="1475740"/>
            <wp:effectExtent l="0" t="0" r="14605" b="10160"/>
            <wp:docPr id="9" name="图片 9" descr="{[5Y3_%2CXIMM8D}EXMO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[5Y3_%2CXIMM8D}EXMOD6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3.太阳高度角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根据专家经验划分为三类,分别用E</w:t>
      </w:r>
      <w:r>
        <w:rPr>
          <w:rFonts w:hint="eastAsia" w:ascii="微软雅黑" w:hAnsi="微软雅黑" w:eastAsia="微软雅黑" w:cs="微软雅黑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,E</w:t>
      </w:r>
      <w:r>
        <w:rPr>
          <w:rFonts w:hint="eastAsia" w:ascii="微软雅黑" w:hAnsi="微软雅黑" w:eastAsia="微软雅黑" w:cs="微软雅黑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,E</w:t>
      </w:r>
      <w:r>
        <w:rPr>
          <w:rFonts w:hint="eastAsia" w:ascii="微软雅黑" w:hAnsi="微软雅黑" w:eastAsia="微软雅黑" w:cs="微软雅黑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表示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38" o:spt="75" alt="" type="#_x0000_t75" style="height:17pt;width:5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8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object>
          <v:shape id="_x0000_i1039" o:spt="75" alt="" type="#_x0000_t75" style="height:16.4pt;width:6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23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position w:val="-12"/>
          <w:lang w:val="en-US" w:eastAsia="zh-CN"/>
        </w:rPr>
        <w:object>
          <v:shape id="_x0000_i1040" o:spt="75" alt="" type="#_x0000_t75" style="height:18pt;width:3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5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  <w:lang w:eastAsia="zh-CN"/>
        </w:rPr>
        <w:t>条件概率表</w:t>
      </w:r>
    </w:p>
    <w:tbl>
      <w:tblPr>
        <w:tblStyle w:val="4"/>
        <w:tblW w:w="6591" w:type="dxa"/>
        <w:jc w:val="center"/>
        <w:tblInd w:w="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2"/>
        <w:gridCol w:w="1175"/>
        <w:gridCol w:w="1425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drawing>
                <wp:inline distT="0" distB="0" distL="114300" distR="114300">
                  <wp:extent cx="971550" cy="171450"/>
                  <wp:effectExtent l="0" t="0" r="0" b="0"/>
                  <wp:docPr id="1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(0,25]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(25,50]</w:t>
            </w:r>
          </w:p>
        </w:tc>
        <w:tc>
          <w:tcPr>
            <w:tcW w:w="1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(&gt;50)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probability</w:t>
            </w:r>
          </w:p>
        </w:tc>
        <w:tc>
          <w:tcPr>
            <w:tcW w:w="11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0.4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0.4</w:t>
            </w:r>
          </w:p>
        </w:tc>
        <w:tc>
          <w:tcPr>
            <w:tcW w:w="1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4"/>
        <w:tblW w:w="65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860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vertAlign w:val="baseline"/>
                <w:lang w:val="en-US" w:eastAsia="zh-CN"/>
              </w:rPr>
              <w:object>
                <v:shape id="_x0000_i1048" o:spt="75" type="#_x0000_t75" style="height:18.7pt;width:109.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34" r:id="rId28">
                  <o:LockedField>false</o:LockedField>
                </o:OLEObject>
              </w:object>
            </w:r>
          </w:p>
        </w:tc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Shade=0</w:t>
            </w:r>
          </w:p>
        </w:tc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1063"/>
              </w:tabs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0.25</w:t>
            </w:r>
          </w:p>
        </w:tc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2</w:t>
            </w:r>
          </w:p>
        </w:tc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0.12</w:t>
            </w:r>
          </w:p>
        </w:tc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3</w:t>
            </w:r>
          </w:p>
        </w:tc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0.06</w:t>
            </w:r>
          </w:p>
        </w:tc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0.94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4"/>
        <w:tblW w:w="65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192"/>
        <w:gridCol w:w="1425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vertAlign w:val="baseline"/>
                <w:lang w:val="en-US" w:eastAsia="zh-CN"/>
              </w:rPr>
              <w:object>
                <v:shape id="_x0000_i1054" o:spt="75" type="#_x0000_t75" style="height:18.7pt;width:116.1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35" r:id="rId30">
                  <o:LockedField>false</o:LockedField>
                </o:OLEObject>
              </w:object>
            </w:r>
          </w:p>
        </w:tc>
        <w:tc>
          <w:tcPr>
            <w:tcW w:w="11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(0,0.089]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2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(0.089,0.123]</w:t>
            </w:r>
          </w:p>
        </w:tc>
        <w:tc>
          <w:tcPr>
            <w:tcW w:w="13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3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(0.123,0.196]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1063"/>
              </w:tabs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 = 0</w:t>
            </w:r>
          </w:p>
        </w:tc>
        <w:tc>
          <w:tcPr>
            <w:tcW w:w="11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0.8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0.15</w:t>
            </w:r>
          </w:p>
        </w:tc>
        <w:tc>
          <w:tcPr>
            <w:tcW w:w="13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 = 1</w:t>
            </w:r>
          </w:p>
        </w:tc>
        <w:tc>
          <w:tcPr>
            <w:tcW w:w="11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0.1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0.4</w:t>
            </w:r>
          </w:p>
        </w:tc>
        <w:tc>
          <w:tcPr>
            <w:tcW w:w="13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4"/>
        <w:tblW w:w="65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248"/>
        <w:gridCol w:w="1361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vertAlign w:val="baseline"/>
                <w:lang w:val="en-US" w:eastAsia="zh-CN"/>
              </w:rPr>
              <w:object>
                <v:shape id="_x0000_i1056" o:spt="75" type="#_x0000_t75" style="height:18.7pt;width:107.6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36" r:id="rId32">
                  <o:LockedField>false</o:LockedField>
                </o:OLEObject>
              </w:object>
            </w:r>
          </w:p>
        </w:tc>
        <w:tc>
          <w:tcPr>
            <w:tcW w:w="12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(0,0.79]</w:t>
            </w:r>
          </w:p>
        </w:tc>
        <w:tc>
          <w:tcPr>
            <w:tcW w:w="13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2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(0.79,0.95]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vertAlign w:val="subscript"/>
                <w:lang w:val="en-US" w:eastAsia="zh-CN"/>
              </w:rPr>
              <w:t xml:space="preserve">3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(0.95,1]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1063"/>
              </w:tabs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 = 0</w:t>
            </w:r>
          </w:p>
        </w:tc>
        <w:tc>
          <w:tcPr>
            <w:tcW w:w="12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0.2</w:t>
            </w:r>
          </w:p>
        </w:tc>
        <w:tc>
          <w:tcPr>
            <w:tcW w:w="13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0.5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Shade = 1</w:t>
            </w:r>
          </w:p>
        </w:tc>
        <w:tc>
          <w:tcPr>
            <w:tcW w:w="12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0.5</w:t>
            </w:r>
          </w:p>
        </w:tc>
        <w:tc>
          <w:tcPr>
            <w:tcW w:w="13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0.45</w:t>
            </w:r>
          </w:p>
        </w:tc>
        <w:tc>
          <w:tcPr>
            <w:tcW w:w="13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0.05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整体结构图</w:t>
      </w: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74" o:spt="75" type="#_x0000_t75" style="height:218.6pt;width:393.6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74" DrawAspect="Content" ObjectID="_1468075737" r:id="rId3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唐隶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智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智草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曹隶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柳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0416D"/>
    <w:multiLevelType w:val="singleLevel"/>
    <w:tmpl w:val="D8E041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29DC50"/>
    <w:multiLevelType w:val="singleLevel"/>
    <w:tmpl w:val="E829DC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0A7E2F"/>
    <w:multiLevelType w:val="singleLevel"/>
    <w:tmpl w:val="1D0A7E2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43E1C19"/>
    <w:multiLevelType w:val="singleLevel"/>
    <w:tmpl w:val="243E1C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B70C1"/>
    <w:rsid w:val="4D7B70C1"/>
    <w:rsid w:val="4DC669D8"/>
    <w:rsid w:val="4FF821C1"/>
    <w:rsid w:val="5FA22F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9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2018-06-02T02:45:00Z</dcterms:created>
  <dc:creator>         桃子</dc:creator>
  <cp:lastModifiedBy>         桃子</cp:lastModifiedBy>
  <dcterms:modified xsi:type="dcterms:W3CDTF">2018-06-15T03:04:33Z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