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F2" w:rsidRDefault="00D56AF2" w:rsidP="00D56AF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313131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公积金注册：单位缴存登记与登记注销业务办理指南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_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深圳市住房公积金管理中心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 xml:space="preserve">  http://www.szzfgjj.com/ywgz/jcl/201703/t20170329_6104078.htm</w:t>
      </w:r>
    </w:p>
    <w:p w:rsidR="00D56AF2" w:rsidRDefault="00D56AF2" w:rsidP="00D56AF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313131"/>
          <w:kern w:val="0"/>
          <w:szCs w:val="21"/>
          <w:lang w:val="zh-CN"/>
        </w:rPr>
      </w:pPr>
    </w:p>
    <w:p w:rsidR="00D56AF2" w:rsidRDefault="00D56AF2" w:rsidP="00D56AF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313131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网上申报，单位首次办理缴存登记的，需在深圳住房公积金网站首页右上角点击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单位设立登记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输入准</w:t>
      </w:r>
      <w:proofErr w:type="gramStart"/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专办员</w:t>
      </w:r>
      <w:proofErr w:type="gramEnd"/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个人社保电脑号及身份证号登录网上办事大厅进行申报预约，预约成功后，准</w:t>
      </w:r>
      <w:proofErr w:type="gramStart"/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专办员</w:t>
      </w:r>
      <w:proofErr w:type="gramEnd"/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携带规定材料到预约网点办理缴存登记及</w:t>
      </w:r>
      <w:proofErr w:type="gramStart"/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专办员</w:t>
      </w:r>
      <w:proofErr w:type="gramEnd"/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注册登记业务。单位办理缴存登记后，应按规定为职工设立个人公积金账户，职工账户生效后可正常缴存住房公积金。单位可选择公积金中心委托的三家归集银行（建设银行、招商银行、中国银行）中任意一家公积金银行网点作为单位的缴存登记银行，归集银行选择后不可变更。</w:t>
      </w:r>
    </w:p>
    <w:p w:rsidR="00045E7B" w:rsidRDefault="00045E7B">
      <w:bookmarkStart w:id="0" w:name="_GoBack"/>
      <w:bookmarkEnd w:id="0"/>
    </w:p>
    <w:sectPr w:rsidR="00045E7B" w:rsidSect="006522C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DF"/>
    <w:rsid w:val="00045E7B"/>
    <w:rsid w:val="003A27DF"/>
    <w:rsid w:val="008B5025"/>
    <w:rsid w:val="00D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0C860-865F-482F-BCCE-4B793DC0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LTT</cp:lastModifiedBy>
  <cp:revision>2</cp:revision>
  <dcterms:created xsi:type="dcterms:W3CDTF">2018-06-12T07:19:00Z</dcterms:created>
  <dcterms:modified xsi:type="dcterms:W3CDTF">2018-06-12T07:19:00Z</dcterms:modified>
</cp:coreProperties>
</file>