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8EFB92">
      <w:pPr>
        <w:pStyle w:val="4"/>
        <w:spacing w:before="0" w:after="0" w:line="240" w:lineRule="auto"/>
        <w:ind w:right="0" w:rightChars="0" w:firstLine="640" w:firstLineChars="200"/>
        <w:jc w:val="left"/>
        <w:outlineLvl w:val="0"/>
        <w:rPr>
          <w:rFonts w:ascii="黑体" w:hAnsi="黑体" w:eastAsia="黑体"/>
          <w:b w:val="0"/>
          <w:bCs w:val="0"/>
          <w:highlight w:val="none"/>
        </w:rPr>
      </w:pPr>
      <w:bookmarkStart w:id="0" w:name="_Toc162282285"/>
      <w:r>
        <w:rPr>
          <w:rFonts w:hint="eastAsia" w:ascii="黑体" w:hAnsi="黑体" w:eastAsia="黑体"/>
          <w:b w:val="0"/>
          <w:bCs w:val="0"/>
          <w:highlight w:val="none"/>
        </w:rPr>
        <w:t>六、业务安全风险评估</w:t>
      </w:r>
      <w:bookmarkEnd w:id="0"/>
    </w:p>
    <w:p w14:paraId="2F5B0378">
      <w:pPr>
        <w:pStyle w:val="5"/>
        <w:spacing w:before="0" w:after="0" w:line="240" w:lineRule="auto"/>
        <w:ind w:right="0" w:rightChars="0" w:firstLine="643" w:firstLineChars="200"/>
        <w:jc w:val="left"/>
        <w:outlineLvl w:val="1"/>
        <w:rPr>
          <w:rFonts w:ascii="楷体_GB2312" w:eastAsia="楷体_GB2312"/>
          <w:b/>
          <w:bCs/>
          <w:highlight w:val="none"/>
        </w:rPr>
      </w:pPr>
      <w:bookmarkStart w:id="1" w:name="_Toc162282286"/>
      <w:r>
        <w:rPr>
          <w:rFonts w:ascii="楷体_GB2312" w:eastAsia="楷体_GB2312"/>
          <w:b/>
          <w:bCs/>
          <w:highlight w:val="none"/>
        </w:rPr>
        <w:t>1</w:t>
      </w:r>
      <w:r>
        <w:rPr>
          <w:rFonts w:hint="eastAsia" w:ascii="楷体_GB2312" w:eastAsia="楷体_GB2312"/>
          <w:b/>
          <w:bCs/>
          <w:highlight w:val="none"/>
        </w:rPr>
        <w:t>、业务应用安全风险</w:t>
      </w:r>
      <w:bookmarkEnd w:id="1"/>
    </w:p>
    <w:p w14:paraId="16799DBB">
      <w:pPr>
        <w:pStyle w:val="8"/>
        <w:outlineLvl w:val="2"/>
        <w:rPr>
          <w:rFonts w:hint="eastAsia" w:ascii="黑体" w:hAnsi="黑体" w:eastAsia="黑体" w:cs="黑体"/>
          <w:highlight w:val="none"/>
        </w:rPr>
      </w:pPr>
      <w:bookmarkStart w:id="2" w:name="_Toc162282287"/>
      <w:r>
        <w:rPr>
          <w:rFonts w:hint="eastAsia" w:ascii="黑体" w:hAnsi="黑体" w:eastAsia="黑体" w:cs="黑体"/>
          <w:highlight w:val="none"/>
        </w:rPr>
        <w:t>（1）用户</w:t>
      </w:r>
      <w:bookmarkEnd w:id="2"/>
    </w:p>
    <w:p w14:paraId="446CEAF5">
      <w:pPr>
        <w:pStyle w:val="10"/>
        <w:rPr>
          <w:highlight w:val="none"/>
        </w:rPr>
      </w:pPr>
      <w:r>
        <w:rPr>
          <w:rFonts w:hint="eastAsia"/>
          <w:highlight w:val="none"/>
        </w:rPr>
        <w:t>用户主要关注用户规模、用户相关性、用户真实身份鉴别等。如果业务涉及用户规模庞大、用户间关系紧密、用户身份信息无法追溯等，则可能出现安全事件影响范围扩大、用户个人隐私泄露、账户信息被泄露、仿冒、盗取等风险。</w:t>
      </w:r>
    </w:p>
    <w:p w14:paraId="4465C665">
      <w:pPr>
        <w:pStyle w:val="8"/>
        <w:outlineLvl w:val="2"/>
        <w:rPr>
          <w:rFonts w:hint="eastAsia" w:ascii="黑体" w:hAnsi="黑体" w:eastAsia="黑体" w:cs="黑体"/>
          <w:highlight w:val="none"/>
        </w:rPr>
      </w:pPr>
      <w:bookmarkStart w:id="3" w:name="_Toc162282288"/>
      <w:r>
        <w:rPr>
          <w:rFonts w:hint="eastAsia" w:ascii="黑体" w:hAnsi="黑体" w:eastAsia="黑体" w:cs="黑体"/>
          <w:highlight w:val="none"/>
        </w:rPr>
        <w:t>（2）业务逻辑</w:t>
      </w:r>
      <w:bookmarkEnd w:id="3"/>
    </w:p>
    <w:p w14:paraId="71E343C3">
      <w:pPr>
        <w:pStyle w:val="10"/>
        <w:rPr>
          <w:rFonts w:hAnsi="黑体"/>
          <w:highlight w:val="none"/>
        </w:rPr>
      </w:pPr>
      <w:r>
        <w:rPr>
          <w:rFonts w:hint="eastAsia"/>
          <w:highlight w:val="none"/>
        </w:rPr>
        <w:t>业务逻辑主要关注业务流程及业务逻辑的合理性。如果业务流程复杂，存在认证绕过的可能性，可被诈骗分子利用设计诈骗场景并实施诈骗，造成用户个人隐私泄露、业务滥用等风险。</w:t>
      </w:r>
    </w:p>
    <w:p w14:paraId="5F50B74F">
      <w:pPr>
        <w:pStyle w:val="8"/>
        <w:outlineLvl w:val="2"/>
        <w:rPr>
          <w:rFonts w:hint="eastAsia" w:ascii="黑体" w:hAnsi="黑体" w:eastAsia="黑体" w:cs="黑体"/>
          <w:highlight w:val="none"/>
        </w:rPr>
      </w:pPr>
      <w:bookmarkStart w:id="4" w:name="_Toc162282289"/>
      <w:r>
        <w:rPr>
          <w:rFonts w:hint="eastAsia" w:ascii="黑体" w:hAnsi="黑体" w:eastAsia="黑体" w:cs="黑体"/>
          <w:highlight w:val="none"/>
        </w:rPr>
        <w:t>（3）信息生成</w:t>
      </w:r>
      <w:bookmarkEnd w:id="4"/>
    </w:p>
    <w:p w14:paraId="312EC159">
      <w:pPr>
        <w:pStyle w:val="10"/>
        <w:rPr>
          <w:highlight w:val="none"/>
        </w:rPr>
      </w:pPr>
      <w:r>
        <w:rPr>
          <w:rFonts w:hint="eastAsia"/>
          <w:highlight w:val="none"/>
        </w:rPr>
        <w:t>信息发布主要关注信息来源和信息产生方式。如果无法确保业务系统中产生的信息是来自经身份真实认证或鉴别的用户，或业务具有信息发布递送功能，则可能涉及违法有害信息生成发布等风险。</w:t>
      </w:r>
    </w:p>
    <w:p w14:paraId="57E6B418">
      <w:pPr>
        <w:pStyle w:val="8"/>
        <w:outlineLvl w:val="2"/>
        <w:rPr>
          <w:rFonts w:hint="eastAsia" w:ascii="黑体" w:hAnsi="黑体" w:eastAsia="黑体" w:cs="黑体"/>
          <w:highlight w:val="none"/>
        </w:rPr>
      </w:pPr>
      <w:bookmarkStart w:id="5" w:name="_Toc162282290"/>
      <w:r>
        <w:rPr>
          <w:rFonts w:hint="eastAsia" w:ascii="黑体" w:hAnsi="黑体" w:eastAsia="黑体" w:cs="黑体"/>
          <w:highlight w:val="none"/>
        </w:rPr>
        <w:t>（4）信息传播</w:t>
      </w:r>
      <w:bookmarkEnd w:id="5"/>
    </w:p>
    <w:p w14:paraId="35E9C1D7">
      <w:pPr>
        <w:pStyle w:val="10"/>
        <w:rPr>
          <w:highlight w:val="none"/>
        </w:rPr>
      </w:pPr>
      <w:r>
        <w:rPr>
          <w:rFonts w:hint="eastAsia"/>
          <w:highlight w:val="none"/>
        </w:rPr>
        <w:t>信息传播主要关注信息传播方式、传播媒介、传播实时性等。如果业务涉及点对多点、多点对多点、链式网状传播等方式，具备跨平台、跨网络（如融合类业务中涉及电信网和互联网之间的传输切换）的信息传播能力，或者用户端能够实时读取信息，则可能涉及违法有害信息传播等风险。</w:t>
      </w:r>
    </w:p>
    <w:p w14:paraId="0EF3A4C1">
      <w:pPr>
        <w:pStyle w:val="5"/>
        <w:spacing w:before="0" w:after="0" w:line="240" w:lineRule="auto"/>
        <w:ind w:right="0" w:rightChars="0" w:firstLine="643" w:firstLineChars="200"/>
        <w:jc w:val="left"/>
        <w:outlineLvl w:val="1"/>
        <w:rPr>
          <w:rFonts w:ascii="楷体_GB2312" w:eastAsia="楷体_GB2312"/>
          <w:b/>
          <w:bCs/>
          <w:highlight w:val="none"/>
          <w:lang w:val="en-US"/>
        </w:rPr>
      </w:pPr>
      <w:bookmarkStart w:id="6" w:name="_Toc162282296"/>
      <w:bookmarkStart w:id="7" w:name="_Toc162282291"/>
      <w:r>
        <w:rPr>
          <w:rFonts w:ascii="楷体_GB2312" w:eastAsia="楷体_GB2312"/>
          <w:b/>
          <w:bCs/>
          <w:highlight w:val="none"/>
          <w:lang w:val="en-US"/>
        </w:rPr>
        <w:t>2</w:t>
      </w:r>
      <w:r>
        <w:rPr>
          <w:rFonts w:hint="eastAsia" w:ascii="楷体_GB2312" w:eastAsia="楷体_GB2312"/>
          <w:b/>
          <w:bCs/>
          <w:highlight w:val="none"/>
          <w:lang w:val="en-US"/>
        </w:rPr>
        <w:t>、业务数据安全风险</w:t>
      </w:r>
      <w:bookmarkEnd w:id="6"/>
    </w:p>
    <w:p w14:paraId="45B40807">
      <w:pPr>
        <w:pStyle w:val="8"/>
        <w:outlineLvl w:val="2"/>
        <w:rPr>
          <w:rFonts w:hint="eastAsia" w:ascii="黑体" w:hAnsi="黑体" w:eastAsia="黑体" w:cs="黑体"/>
          <w:highlight w:val="none"/>
        </w:rPr>
      </w:pPr>
      <w:bookmarkStart w:id="8" w:name="_Toc162282297"/>
      <w:r>
        <w:rPr>
          <w:rFonts w:hint="eastAsia" w:ascii="黑体" w:hAnsi="黑体" w:eastAsia="黑体" w:cs="黑体"/>
          <w:highlight w:val="none"/>
        </w:rPr>
        <w:t>（1）数据基本属性</w:t>
      </w:r>
      <w:bookmarkEnd w:id="8"/>
    </w:p>
    <w:p w14:paraId="5C724F40">
      <w:pPr>
        <w:pStyle w:val="10"/>
        <w:rPr>
          <w:highlight w:val="none"/>
        </w:rPr>
      </w:pPr>
      <w:r>
        <w:rPr>
          <w:rFonts w:hint="eastAsia"/>
          <w:highlight w:val="none"/>
        </w:rPr>
        <w:t>数据基本属性主要关注数据级别、数据种类、数据规模等。如果业务包含重要数据、核心数据，或者生物识别信息等个人敏感信息，或数据规模达到一定程度（如包含</w:t>
      </w:r>
      <w:r>
        <w:rPr>
          <w:highlight w:val="none"/>
        </w:rPr>
        <w:t>100万人以上个人信息</w:t>
      </w:r>
      <w:r>
        <w:rPr>
          <w:rFonts w:hint="eastAsia"/>
          <w:highlight w:val="none"/>
        </w:rPr>
        <w:t>等</w:t>
      </w:r>
      <w:r>
        <w:rPr>
          <w:highlight w:val="none"/>
        </w:rPr>
        <w:t>），</w:t>
      </w:r>
      <w:r>
        <w:rPr>
          <w:rFonts w:hint="eastAsia"/>
          <w:highlight w:val="none"/>
        </w:rPr>
        <w:t>则可能涉及</w:t>
      </w:r>
      <w:r>
        <w:rPr>
          <w:highlight w:val="none"/>
        </w:rPr>
        <w:t>数据被泄露、篡改后影响国家安全、公共利益的风险</w:t>
      </w:r>
      <w:r>
        <w:rPr>
          <w:rFonts w:hint="eastAsia"/>
          <w:highlight w:val="none"/>
        </w:rPr>
        <w:t>。</w:t>
      </w:r>
    </w:p>
    <w:p w14:paraId="566C4DA4">
      <w:pPr>
        <w:pStyle w:val="8"/>
        <w:outlineLvl w:val="2"/>
        <w:rPr>
          <w:rFonts w:hint="eastAsia" w:ascii="黑体" w:hAnsi="黑体" w:eastAsia="黑体" w:cs="黑体"/>
          <w:highlight w:val="none"/>
        </w:rPr>
      </w:pPr>
      <w:bookmarkStart w:id="9" w:name="_Toc162282298"/>
      <w:r>
        <w:rPr>
          <w:rFonts w:hint="eastAsia" w:ascii="黑体" w:hAnsi="黑体" w:eastAsia="黑体" w:cs="黑体"/>
          <w:highlight w:val="none"/>
        </w:rPr>
        <w:t>（2）处理方式</w:t>
      </w:r>
      <w:bookmarkEnd w:id="9"/>
    </w:p>
    <w:p w14:paraId="55D09A17">
      <w:pPr>
        <w:pStyle w:val="10"/>
        <w:rPr>
          <w:highlight w:val="none"/>
        </w:rPr>
      </w:pPr>
      <w:r>
        <w:rPr>
          <w:rFonts w:hint="eastAsia"/>
          <w:highlight w:val="none"/>
        </w:rPr>
        <w:t>处理方式主要关注数据采集、数据存储、数据流转等环节。</w:t>
      </w:r>
    </w:p>
    <w:p w14:paraId="4FECFE87">
      <w:pPr>
        <w:pStyle w:val="10"/>
        <w:rPr>
          <w:highlight w:val="none"/>
        </w:rPr>
      </w:pPr>
      <w:r>
        <w:rPr>
          <w:rFonts w:hint="eastAsia"/>
          <w:highlight w:val="none"/>
        </w:rPr>
        <w:t>数据采集主要关注数据采集方式、数据来源、采集内容等。如果企业通过网络爬取数据，或者采购合作方数据，可能涉及采集方式不合规、数据真实性不足等风险。如果企业向用户采集数据时隐私政策或用户协议不规范，或未取得用户明示同意，则可能涉及超范围采集、非授权采集等风险。</w:t>
      </w:r>
    </w:p>
    <w:p w14:paraId="467ECA22">
      <w:pPr>
        <w:pStyle w:val="10"/>
        <w:rPr>
          <w:highlight w:val="none"/>
        </w:rPr>
      </w:pPr>
      <w:r>
        <w:rPr>
          <w:rFonts w:hint="eastAsia"/>
          <w:highlight w:val="none"/>
        </w:rPr>
        <w:t>数据存储主要关注存储方式。如果企业存储数据时采用合作方数据中心、分布式数据库等方式进行存储，则可能涉及数据被窃取、篡改、丢失或损毁等风险。</w:t>
      </w:r>
    </w:p>
    <w:p w14:paraId="21FAC2C4">
      <w:pPr>
        <w:pStyle w:val="10"/>
        <w:rPr>
          <w:highlight w:val="none"/>
        </w:rPr>
      </w:pPr>
      <w:r>
        <w:rPr>
          <w:rFonts w:hint="eastAsia"/>
          <w:highlight w:val="none"/>
        </w:rPr>
        <w:t>数据使用主要关注使用方式、使用目的等。如果企业超范围使用用户数据且未获取得用户明示同意（如利用数据构建用户画像、进行精准化推送等），则可能涉及个人信息泄露、数据滥用等风险。</w:t>
      </w:r>
    </w:p>
    <w:p w14:paraId="56CFA429">
      <w:pPr>
        <w:pStyle w:val="10"/>
        <w:rPr>
          <w:highlight w:val="none"/>
        </w:rPr>
      </w:pPr>
      <w:r>
        <w:rPr>
          <w:rFonts w:hint="eastAsia"/>
          <w:highlight w:val="none"/>
        </w:rPr>
        <w:t>数据传输主要关注数据跨境。如果企业在传输数据的过程中出现数据跨境流动或数据转移至境外的情况，则可能涉及数据跨境泄露等风险。</w:t>
      </w:r>
    </w:p>
    <w:p w14:paraId="4CD912FC">
      <w:pPr>
        <w:pStyle w:val="5"/>
        <w:spacing w:before="0" w:after="0" w:line="240" w:lineRule="auto"/>
        <w:ind w:right="0" w:rightChars="0" w:firstLine="643" w:firstLineChars="200"/>
        <w:jc w:val="left"/>
        <w:outlineLvl w:val="1"/>
        <w:rPr>
          <w:rFonts w:ascii="楷体_GB2312" w:eastAsia="楷体_GB2312"/>
          <w:b/>
          <w:bCs/>
          <w:highlight w:val="none"/>
          <w:lang w:val="en-US"/>
        </w:rPr>
      </w:pPr>
      <w:r>
        <w:rPr>
          <w:rFonts w:ascii="楷体_GB2312" w:eastAsia="楷体_GB2312"/>
          <w:b/>
          <w:bCs/>
          <w:highlight w:val="none"/>
          <w:lang w:val="en-US"/>
        </w:rPr>
        <w:t>3</w:t>
      </w:r>
      <w:r>
        <w:rPr>
          <w:rFonts w:hint="eastAsia" w:ascii="楷体_GB2312" w:eastAsia="楷体_GB2312"/>
          <w:b/>
          <w:bCs/>
          <w:highlight w:val="none"/>
          <w:lang w:val="en-US"/>
        </w:rPr>
        <w:t>、业务平台安全风险</w:t>
      </w:r>
      <w:bookmarkEnd w:id="7"/>
    </w:p>
    <w:p w14:paraId="02B4B3E1">
      <w:pPr>
        <w:pStyle w:val="8"/>
        <w:outlineLvl w:val="2"/>
        <w:rPr>
          <w:rFonts w:hint="eastAsia" w:ascii="黑体" w:hAnsi="黑体" w:eastAsia="黑体" w:cs="黑体"/>
          <w:highlight w:val="none"/>
        </w:rPr>
      </w:pPr>
      <w:bookmarkStart w:id="10" w:name="_Toc162282292"/>
      <w:r>
        <w:rPr>
          <w:rFonts w:hint="eastAsia" w:ascii="黑体" w:hAnsi="黑体" w:eastAsia="黑体" w:cs="黑体"/>
          <w:highlight w:val="none"/>
        </w:rPr>
        <w:t>（1）软件系统</w:t>
      </w:r>
      <w:bookmarkEnd w:id="10"/>
    </w:p>
    <w:p w14:paraId="563B9ECF">
      <w:pPr>
        <w:pStyle w:val="10"/>
        <w:rPr>
          <w:highlight w:val="none"/>
        </w:rPr>
      </w:pPr>
      <w:r>
        <w:rPr>
          <w:rFonts w:hint="eastAsia"/>
          <w:highlight w:val="none"/>
        </w:rPr>
        <w:t>软件系统主要关注业务系统涉及软件的可靠性和健壮性。如果软件系统存在代码漏洞、代码逻辑错误、系统设计缺陷、兼容性差等，则可能涉及丢失关键数据、遭受外部网络攻击等风险。</w:t>
      </w:r>
    </w:p>
    <w:p w14:paraId="07DC582D">
      <w:pPr>
        <w:pStyle w:val="8"/>
        <w:outlineLvl w:val="2"/>
        <w:rPr>
          <w:rFonts w:hint="eastAsia" w:ascii="黑体" w:hAnsi="黑体" w:eastAsia="黑体" w:cs="黑体"/>
          <w:highlight w:val="none"/>
        </w:rPr>
      </w:pPr>
      <w:bookmarkStart w:id="11" w:name="_Toc162282293"/>
      <w:r>
        <w:rPr>
          <w:rFonts w:hint="eastAsia" w:ascii="黑体" w:hAnsi="黑体" w:eastAsia="黑体" w:cs="黑体"/>
          <w:highlight w:val="none"/>
        </w:rPr>
        <w:t>（2）智能算法</w:t>
      </w:r>
      <w:bookmarkEnd w:id="11"/>
    </w:p>
    <w:p w14:paraId="4758184D">
      <w:pPr>
        <w:pStyle w:val="10"/>
        <w:rPr>
          <w:highlight w:val="none"/>
        </w:rPr>
      </w:pPr>
      <w:r>
        <w:rPr>
          <w:rFonts w:hint="eastAsia"/>
          <w:highlight w:val="none"/>
        </w:rPr>
        <w:t>智能算法主要关注业务涉及的机器学习等人工智能算法，以及算法功能实现方式、应用场景等。如果业务平台采用深度神经网络、自然语言处理</w:t>
      </w:r>
      <w:r>
        <w:rPr>
          <w:highlight w:val="none"/>
        </w:rPr>
        <w:t>(NLP)、</w:t>
      </w:r>
      <w:r>
        <w:rPr>
          <w:rFonts w:hint="eastAsia"/>
          <w:highlight w:val="none"/>
        </w:rPr>
        <w:t>大模型等智能算法，提供网络通信、内容分发、数据中心、互联网信息服务等，则可能涉及算法偏见歧视、训练数据泄露、滥用和恶意使用等风险。</w:t>
      </w:r>
    </w:p>
    <w:p w14:paraId="11D1EDEB">
      <w:pPr>
        <w:pStyle w:val="8"/>
        <w:outlineLvl w:val="2"/>
        <w:rPr>
          <w:rFonts w:hint="eastAsia" w:ascii="黑体" w:hAnsi="黑体" w:eastAsia="黑体" w:cs="黑体"/>
          <w:highlight w:val="none"/>
        </w:rPr>
      </w:pPr>
      <w:bookmarkStart w:id="12" w:name="_Toc162282295"/>
      <w:r>
        <w:rPr>
          <w:rFonts w:hint="eastAsia" w:ascii="黑体" w:hAnsi="黑体" w:eastAsia="黑体" w:cs="黑体"/>
          <w:highlight w:val="none"/>
        </w:rPr>
        <w:t>（3）网络协议</w:t>
      </w:r>
      <w:bookmarkEnd w:id="12"/>
    </w:p>
    <w:p w14:paraId="7BA00C13">
      <w:pPr>
        <w:pStyle w:val="10"/>
        <w:rPr>
          <w:highlight w:val="none"/>
        </w:rPr>
      </w:pPr>
      <w:r>
        <w:rPr>
          <w:rFonts w:hint="eastAsia"/>
          <w:highlight w:val="none"/>
        </w:rPr>
        <w:t>网络协议主要关注业务系统采用的网络协议加密性、安全性等方面。如果采用</w:t>
      </w:r>
      <w:r>
        <w:rPr>
          <w:highlight w:val="none"/>
        </w:rPr>
        <w:t>HTTP等非加密网络协议，或者网络协议设计存在缺陷、安全漏洞等，则</w:t>
      </w:r>
      <w:r>
        <w:rPr>
          <w:rFonts w:hint="eastAsia"/>
          <w:highlight w:val="none"/>
        </w:rPr>
        <w:t>可能</w:t>
      </w:r>
      <w:r>
        <w:rPr>
          <w:highlight w:val="none"/>
        </w:rPr>
        <w:t>涉及数据泄露、易被攻击等风险。</w:t>
      </w:r>
    </w:p>
    <w:p w14:paraId="2625ECFA">
      <w:pPr>
        <w:pStyle w:val="5"/>
        <w:spacing w:before="0" w:after="0" w:line="240" w:lineRule="auto"/>
        <w:ind w:right="0" w:rightChars="0" w:firstLine="643" w:firstLineChars="200"/>
        <w:jc w:val="left"/>
        <w:outlineLvl w:val="1"/>
        <w:rPr>
          <w:rFonts w:ascii="楷体_GB2312" w:eastAsia="楷体_GB2312"/>
          <w:b/>
          <w:bCs/>
          <w:highlight w:val="none"/>
          <w:lang w:val="en-US"/>
        </w:rPr>
      </w:pPr>
      <w:r>
        <w:rPr>
          <w:rFonts w:hint="eastAsia" w:ascii="楷体_GB2312" w:eastAsia="楷体_GB2312"/>
          <w:b/>
          <w:bCs/>
          <w:highlight w:val="none"/>
          <w:lang w:val="en-US"/>
        </w:rPr>
        <w:t>4</w:t>
      </w:r>
      <w:r>
        <w:rPr>
          <w:rFonts w:ascii="楷体_GB2312" w:eastAsia="楷体_GB2312"/>
          <w:b/>
          <w:bCs/>
          <w:highlight w:val="none"/>
          <w:lang w:val="en-US"/>
        </w:rPr>
        <w:t>.</w:t>
      </w:r>
      <w:r>
        <w:rPr>
          <w:rFonts w:hint="eastAsia" w:ascii="楷体_GB2312" w:eastAsia="楷体_GB2312"/>
          <w:b/>
          <w:bCs/>
          <w:highlight w:val="none"/>
          <w:lang w:val="en-US"/>
        </w:rPr>
        <w:t>业务基础设施安全风险</w:t>
      </w:r>
    </w:p>
    <w:p w14:paraId="086C1BFD">
      <w:pPr>
        <w:pStyle w:val="8"/>
        <w:outlineLvl w:val="2"/>
        <w:rPr>
          <w:rFonts w:hint="eastAsia" w:ascii="黑体" w:hAnsi="黑体" w:eastAsia="黑体" w:cs="黑体"/>
          <w:highlight w:val="none"/>
        </w:rPr>
      </w:pPr>
      <w:bookmarkStart w:id="13" w:name="_Toc162282294"/>
      <w:r>
        <w:rPr>
          <w:rFonts w:hint="eastAsia" w:ascii="黑体" w:hAnsi="黑体" w:eastAsia="黑体" w:cs="黑体"/>
          <w:highlight w:val="none"/>
        </w:rPr>
        <w:t>（1）资源调度</w:t>
      </w:r>
      <w:bookmarkEnd w:id="13"/>
    </w:p>
    <w:p w14:paraId="4C5DCD61">
      <w:pPr>
        <w:pStyle w:val="10"/>
        <w:rPr>
          <w:highlight w:val="none"/>
        </w:rPr>
      </w:pPr>
      <w:r>
        <w:rPr>
          <w:rFonts w:hint="eastAsia"/>
          <w:highlight w:val="none"/>
        </w:rPr>
        <w:t>资源调度主要关注业务系统的计算资源、存储资源、带宽资源、</w:t>
      </w:r>
      <w:r>
        <w:rPr>
          <w:highlight w:val="none"/>
        </w:rPr>
        <w:t>IP地址及域名资源的调度方式。如果计算、存储、带宽资源采用了云化或虚拟化，或者IP地址及域名采取动态分配</w:t>
      </w:r>
      <w:r>
        <w:rPr>
          <w:rFonts w:hint="eastAsia"/>
          <w:highlight w:val="none"/>
        </w:rPr>
        <w:t>方式，则可能增加处理违法有害信息的难度。</w:t>
      </w:r>
    </w:p>
    <w:p w14:paraId="61E472DA">
      <w:pPr>
        <w:pStyle w:val="8"/>
        <w:outlineLvl w:val="2"/>
        <w:rPr>
          <w:rFonts w:hint="eastAsia" w:ascii="黑体" w:hAnsi="黑体" w:eastAsia="黑体" w:cs="黑体"/>
          <w:highlight w:val="none"/>
        </w:rPr>
      </w:pPr>
      <w:r>
        <w:rPr>
          <w:rFonts w:hint="eastAsia" w:ascii="黑体" w:hAnsi="黑体" w:eastAsia="黑体" w:cs="黑体"/>
          <w:highlight w:val="none"/>
        </w:rPr>
        <w:t>（2）硬件设备</w:t>
      </w:r>
    </w:p>
    <w:p w14:paraId="74CF9A6C">
      <w:pPr>
        <w:pStyle w:val="10"/>
        <w:rPr>
          <w:highlight w:val="none"/>
        </w:rPr>
      </w:pPr>
      <w:r>
        <w:rPr>
          <w:rFonts w:hint="eastAsia"/>
          <w:highlight w:val="none"/>
        </w:rPr>
        <w:t>硬件设备主要关注业务系统的网络设备、服务器等，以及设备的安全管理方式。如果硬件设备存在软硬件漏洞、系统后门等，则可能导致设备被攻击入侵、数据被窃取或破坏等风险。</w:t>
      </w:r>
    </w:p>
    <w:p w14:paraId="52DD673F">
      <w:pPr>
        <w:pStyle w:val="8"/>
        <w:outlineLvl w:val="2"/>
        <w:rPr>
          <w:rFonts w:hint="eastAsia" w:ascii="黑体" w:hAnsi="黑体" w:eastAsia="黑体" w:cs="黑体"/>
          <w:highlight w:val="none"/>
        </w:rPr>
      </w:pPr>
      <w:r>
        <w:rPr>
          <w:rFonts w:hint="eastAsia" w:ascii="黑体" w:hAnsi="黑体" w:eastAsia="黑体" w:cs="黑体"/>
          <w:highlight w:val="none"/>
        </w:rPr>
        <w:t>（3）物理环境</w:t>
      </w:r>
    </w:p>
    <w:p w14:paraId="079E3B23">
      <w:pPr>
        <w:pStyle w:val="10"/>
        <w:rPr>
          <w:highlight w:val="none"/>
        </w:rPr>
      </w:pPr>
      <w:r>
        <w:rPr>
          <w:rFonts w:hint="eastAsia"/>
          <w:highlight w:val="none"/>
        </w:rPr>
        <w:t>物理环境主要关注业务系统的机房基础设施。如果物理环境遭受自然环境灾害（地震、洪水）或物理设施故障（如断电、温湿度失调等），机房出入人员控制失效等，则可能引发业务中断、服务器宕机、设备损毁或失窃等风险。</w:t>
      </w:r>
    </w:p>
    <w:p w14:paraId="532A9D89">
      <w:pPr>
        <w:pStyle w:val="5"/>
        <w:spacing w:before="0" w:after="0" w:line="240" w:lineRule="auto"/>
        <w:ind w:right="0" w:rightChars="0" w:firstLine="643" w:firstLineChars="200"/>
        <w:jc w:val="left"/>
        <w:outlineLvl w:val="1"/>
        <w:rPr>
          <w:rFonts w:ascii="楷体_GB2312" w:eastAsia="楷体_GB2312"/>
          <w:b/>
          <w:bCs/>
          <w:highlight w:val="none"/>
          <w:lang w:val="en-US"/>
        </w:rPr>
      </w:pPr>
      <w:bookmarkStart w:id="14" w:name="_Toc162282299"/>
      <w:r>
        <w:rPr>
          <w:rFonts w:ascii="楷体_GB2312" w:eastAsia="楷体_GB2312"/>
          <w:b/>
          <w:bCs/>
          <w:highlight w:val="none"/>
          <w:lang w:val="en-US"/>
        </w:rPr>
        <w:t>5</w:t>
      </w:r>
      <w:r>
        <w:rPr>
          <w:rFonts w:hint="eastAsia" w:ascii="楷体_GB2312" w:eastAsia="楷体_GB2312"/>
          <w:b/>
          <w:bCs/>
          <w:highlight w:val="none"/>
          <w:lang w:val="en-US"/>
        </w:rPr>
        <w:t>、业务合作安全风险</w:t>
      </w:r>
      <w:bookmarkEnd w:id="14"/>
    </w:p>
    <w:p w14:paraId="68EF6FEE">
      <w:pPr>
        <w:pStyle w:val="8"/>
        <w:outlineLvl w:val="2"/>
        <w:rPr>
          <w:rFonts w:hint="eastAsia" w:ascii="黑体" w:hAnsi="黑体" w:eastAsia="黑体" w:cs="黑体"/>
          <w:highlight w:val="none"/>
        </w:rPr>
      </w:pPr>
      <w:bookmarkStart w:id="15" w:name="_Toc162282300"/>
      <w:r>
        <w:rPr>
          <w:rFonts w:hint="eastAsia" w:ascii="黑体" w:hAnsi="黑体" w:eastAsia="黑体" w:cs="黑体"/>
          <w:highlight w:val="none"/>
        </w:rPr>
        <w:t>（1）合作模式</w:t>
      </w:r>
      <w:bookmarkEnd w:id="15"/>
    </w:p>
    <w:p w14:paraId="237697A7">
      <w:pPr>
        <w:pStyle w:val="10"/>
        <w:rPr>
          <w:highlight w:val="none"/>
        </w:rPr>
      </w:pPr>
      <w:r>
        <w:rPr>
          <w:rFonts w:hint="eastAsia"/>
          <w:highlight w:val="none"/>
        </w:rPr>
        <w:t>合作模式主要关注合作事项、合作方数量等。如果业务涉及对合作方提供数据、共享数据、委托处理数据，或者委托合作方进行软件开发、数据建模分析、系统运维等情况，可能涉及数据泄露、数据滥用、网络攻击、系统后门等风险。如果业务涉及两个及以上的合作方，则可能加大数据泄露、数据滥用等风险。</w:t>
      </w:r>
    </w:p>
    <w:p w14:paraId="20A25038">
      <w:pPr>
        <w:pStyle w:val="8"/>
        <w:outlineLvl w:val="2"/>
        <w:rPr>
          <w:rFonts w:hint="eastAsia" w:ascii="黑体" w:hAnsi="黑体" w:eastAsia="黑体" w:cs="黑体"/>
          <w:highlight w:val="none"/>
        </w:rPr>
      </w:pPr>
      <w:bookmarkStart w:id="16" w:name="_Toc162282301"/>
      <w:r>
        <w:rPr>
          <w:rFonts w:hint="eastAsia" w:ascii="黑体" w:hAnsi="黑体" w:eastAsia="黑体" w:cs="黑体"/>
          <w:highlight w:val="none"/>
        </w:rPr>
        <w:t>（2）合作方资质背景</w:t>
      </w:r>
      <w:bookmarkEnd w:id="16"/>
    </w:p>
    <w:p w14:paraId="2D0DEBDA">
      <w:pPr>
        <w:pStyle w:val="10"/>
        <w:rPr>
          <w:highlight w:val="none"/>
        </w:rPr>
      </w:pPr>
      <w:r>
        <w:rPr>
          <w:rFonts w:hint="eastAsia"/>
          <w:highlight w:val="none"/>
        </w:rPr>
        <w:t>合作方资质背景主要关注合作方安全违规情况。如果合作方发生过数据泄露（丢失）、数据被篡改、数据被损毁等安全事件，或者合作方因网络安全、数据安全、内容安全等问题被列入电信互联网业务经营不良名单或失信名单，则可能增加业务合作过程中发生类似安全事件的风险。</w:t>
      </w:r>
    </w:p>
    <w:p w14:paraId="66D93999">
      <w:bookmarkStart w:id="17" w:name="_GoBack"/>
      <w:bookmarkEnd w:id="17"/>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decorative"/>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方正小标宋_GBK">
    <w:altName w:val="微软雅黑"/>
    <w:panose1 w:val="02000000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hhOTM1ZmEwNmQ2YWMyNGVlNTM4YjRmMjQ5OTU2NDcifQ=="/>
  </w:docVars>
  <w:rsids>
    <w:rsidRoot w:val="542B5A1D"/>
    <w:rsid w:val="542B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160" w:line="278" w:lineRule="auto"/>
      <w:jc w:val="center"/>
    </w:pPr>
    <w:rPr>
      <w:rFonts w:ascii="等线" w:hAnsi="等线" w:eastAsia="等线" w:cs="黑体"/>
      <w:kern w:val="2"/>
      <w:sz w:val="21"/>
      <w:szCs w:val="22"/>
      <w:lang w:val="en-US" w:eastAsia="zh-CN" w:bidi="ar-SA"/>
    </w:rPr>
  </w:style>
  <w:style w:type="paragraph" w:styleId="4">
    <w:name w:val="heading 1"/>
    <w:basedOn w:val="1"/>
    <w:next w:val="1"/>
    <w:qFormat/>
    <w:uiPriority w:val="9"/>
    <w:pPr>
      <w:keepNext/>
      <w:keepLines/>
      <w:outlineLvl w:val="0"/>
    </w:pPr>
    <w:rPr>
      <w:rFonts w:eastAsia="黑体"/>
      <w:bCs/>
      <w:kern w:val="44"/>
      <w:sz w:val="32"/>
      <w:szCs w:val="44"/>
    </w:rPr>
  </w:style>
  <w:style w:type="paragraph" w:styleId="5">
    <w:name w:val="heading 2"/>
    <w:basedOn w:val="1"/>
    <w:next w:val="1"/>
    <w:qFormat/>
    <w:uiPriority w:val="9"/>
    <w:pPr>
      <w:keepNext/>
      <w:keepLines/>
      <w:spacing w:before="260" w:after="260" w:line="413" w:lineRule="auto"/>
      <w:outlineLvl w:val="1"/>
    </w:pPr>
    <w:rPr>
      <w:rFonts w:ascii="Arial" w:hAnsi="Arial" w:eastAsia="黑体"/>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next w:val="3"/>
    <w:qFormat/>
    <w:uiPriority w:val="0"/>
    <w:pPr>
      <w:ind w:left="120"/>
      <w:jc w:val="both"/>
    </w:pPr>
    <w:rPr>
      <w:rFonts w:hint="eastAsia"/>
      <w:sz w:val="32"/>
      <w:szCs w:val="24"/>
    </w:rPr>
  </w:style>
  <w:style w:type="paragraph" w:styleId="3">
    <w:name w:val="Title"/>
    <w:basedOn w:val="1"/>
    <w:next w:val="1"/>
    <w:qFormat/>
    <w:uiPriority w:val="10"/>
    <w:pPr>
      <w:jc w:val="center"/>
      <w:outlineLvl w:val="0"/>
    </w:pPr>
    <w:rPr>
      <w:rFonts w:ascii="方正小标宋_GBK" w:hAnsi="方正小标宋_GBK" w:eastAsia="方正小标宋_GBK" w:cs="方正小标宋_GBK"/>
      <w:sz w:val="44"/>
      <w:szCs w:val="44"/>
    </w:rPr>
  </w:style>
  <w:style w:type="paragraph" w:customStyle="1" w:styleId="8">
    <w:name w:val="一级条标题"/>
    <w:basedOn w:val="9"/>
    <w:next w:val="10"/>
    <w:autoRedefine/>
    <w:qFormat/>
    <w:uiPriority w:val="0"/>
    <w:pPr>
      <w:spacing w:before="0" w:beforeLines="0" w:after="0" w:afterLines="0"/>
      <w:ind w:firstLine="640" w:firstLineChars="200"/>
      <w:outlineLvl w:val="3"/>
    </w:pPr>
    <w:rPr>
      <w:rFonts w:ascii="仿宋_GB2312" w:eastAsia="仿宋_GB2312"/>
    </w:rPr>
  </w:style>
  <w:style w:type="paragraph" w:customStyle="1" w:styleId="9">
    <w:name w:val="章标题"/>
    <w:next w:val="10"/>
    <w:autoRedefine/>
    <w:qFormat/>
    <w:uiPriority w:val="0"/>
    <w:pPr>
      <w:spacing w:before="156" w:beforeLines="50" w:after="156" w:afterLines="50"/>
      <w:jc w:val="both"/>
      <w:outlineLvl w:val="1"/>
    </w:pPr>
    <w:rPr>
      <w:rFonts w:ascii="黑体" w:hAnsi="黑体" w:eastAsia="黑体" w:cs="Times New Roman"/>
      <w:kern w:val="0"/>
      <w:sz w:val="32"/>
      <w:szCs w:val="32"/>
      <w:lang w:val="en-US" w:eastAsia="zh-CN" w:bidi="ar-SA"/>
    </w:rPr>
  </w:style>
  <w:style w:type="paragraph" w:customStyle="1" w:styleId="10">
    <w:name w:val="段"/>
    <w:autoRedefine/>
    <w:qFormat/>
    <w:uiPriority w:val="0"/>
    <w:pPr>
      <w:autoSpaceDE w:val="0"/>
      <w:autoSpaceDN w:val="0"/>
      <w:ind w:firstLine="640" w:firstLineChars="200"/>
      <w:jc w:val="both"/>
    </w:pPr>
    <w:rPr>
      <w:rFonts w:ascii="仿宋_GB2312" w:hAnsi="Times New Roman" w:eastAsia="仿宋_GB2312" w:cs="Times New Roman"/>
      <w:kern w:val="0"/>
      <w:sz w:val="32"/>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2024-10-17T09:48:00Z</dcterms:created>
  <dc:creator>我与你</dc:creator>
  <cp:lastModifiedBy>我与你</cp:lastModifiedBy>
  <dcterms:modified xsi:type="dcterms:W3CDTF">2024-10-17T09:49:18Z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58631D201D13422096D82AB0607D2C33_11</vt:lpwstr>
  </property>
</Properties>
</file>