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COMP5583 · Agentic ComputingAria's Sky Journal三版本网站与智能体技术优化实验报告中文版主报告 · 2026年10月28日作者：Xinyue Liu（化名：Aria）项目：个人作品集与课程笔记检索演示实验版本：V0 基线；V1 In-context Few-Shot Learning；V2 Retrieval-Augmented Generation（RAG）</w:t>
      </w:r>
    </w:p>
    <w:p>
      <w:r>
        <w:t>公开版本链接</w:t>
      </w:r>
    </w:p>
    <w:p>
      <w:r>
        <w:t>V0：https://liuxinyue84-sketch.github.io/V1：https://liuxinyue84-sketch.github.io/V1/V2：https://liuxinyue84-sketch.github.io/V2/本报告依据项目源码、提示词附录、版本迭代记录、固定评估规则、人工评分、独立 AI Judge原始结果及公开网页测试记录编写。V0 保持冻结；V1 与 V2 均从 V0 独立派生。</w:t>
      </w:r>
    </w:p>
    <w:p>
      <w:r>
        <w:br w:type="page"/>
      </w:r>
    </w:p>
    <w:p>
      <w:pPr>
        <w:pStyle w:val="Heading1"/>
      </w:pPr>
      <w:r>
        <w:t>1. 实验目标与 V0 基线</w:t>
      </w:r>
    </w:p>
    <w:p>
      <w:r>
        <w:t>本实验围绕个人网站开展两种正式 LLM 技术优化，并以版本对照与证据评估技术效果。网站主题为 “Aria’s Sky Journal”，采用浅蓝水彩天空、低饱和配色、玻璃质感卡片与胶囊导航。访客可浏览个人经历、教育与学术成果、项目贡献、生活媒体，使用 Guestbook 留言，并主动控制舒曼《梦幻曲》的播放。</w:t>
      </w:r>
    </w:p>
    <w:p>
      <w:pPr>
        <w:pStyle w:val="Heading2"/>
      </w:pPr>
      <w:r>
        <w:t>V0 功能与约束</w:t>
      </w:r>
    </w:p>
    <w:p>
      <w:pPr>
        <w:pStyle w:val="ListBullet"/>
      </w:pPr>
      <w:r>
        <w:t>导航板块：Home、Highlights、Projects、Life、Guestbook。教育经历可展开，项目支持分类、查看详情和收藏；Life支持媒体预览；留言与收藏采用前端本地存储。</w:t>
      </w:r>
    </w:p>
    <w:p>
      <w:pPr>
        <w:pStyle w:val="ListBullet"/>
      </w:pPr>
      <w:r>
        <w:t>课程笔记检索：在浏览器端加载课程知识材料，以 BM25 关键词方式检索片段并展示来源。该基线没有服务端或真实 LLM调用。</w:t>
      </w:r>
    </w:p>
    <w:p>
      <w:pPr>
        <w:pStyle w:val="ListBullet"/>
      </w:pPr>
      <w:r>
        <w:t>视觉与内容提示词限定了个人网站定位、低饱和水彩视觉、桌面端可读交互、纯静态 HTML/CSS/原生JavaScript，以及不得臆造或替换个人经历。</w:t>
      </w:r>
    </w:p>
    <w:p>
      <w:pPr>
        <w:pStyle w:val="Heading2"/>
      </w:pPr>
      <w:r>
        <w:t>V0 冻结与提示词留痕</w:t>
      </w:r>
    </w:p>
    <w:p>
      <w:r>
        <w:t>V0 源码及静态资源归档于 website/V0，并有 SHA-256 清单用于确认冻结后未被 V1/V2 技术改动。最早的外部 AI初始指令与后续修改记录收入 prompt_appendix/task1_v0。部分 Trae 原始逐轮历史未能导出，因此附录明确区分“原始提示词”和“根据可追溯记录重建的摘要”，不把重建内容冒充逐字原文。</w:t>
      </w:r>
    </w:p>
    <w:p>
      <w:pPr>
        <w:pStyle w:val="Heading2"/>
      </w:pPr>
      <w:r>
        <w:t>实验设计原则</w:t>
      </w:r>
    </w:p>
    <w:p>
      <w:r>
        <w:t>V1 的自变量是 Few-shot 示例引导的组件结构生成；V2 的自变量是 RAG 检索链路。V1、V2 均独立从冻结 V0 出发，保留同一套个人事实与作业范围。评估规则在版本比较中固定；后续补充的五维人工评分作为独立的补充评价，不替代任务 2的四项官方 AI Judge rubric。</w:t>
      </w:r>
    </w:p>
    <w:p>
      <w:r>
        <w:br w:type="page"/>
      </w:r>
    </w:p>
    <w:p>
      <w:pPr>
        <w:pStyle w:val="Heading1"/>
      </w:pPr>
      <w:r>
        <w:t>2. V1：In-context Few-Shot Learning</w:t>
      </w:r>
    </w:p>
    <w:p>
      <w:r>
        <w:t>V1 将少样本上下文学习用于网页生成：提示中提供经过抽象的开源组件与页面骨架范例，要求模型学习信息架构、排版和交互范式，不复制范例的个人资料、文案或身份。迭代从组件层逐步推进到整页骨架，避免仅调整配色而无法证明技术影响。</w:t>
      </w:r>
    </w:p>
    <w:p>
      <w:pPr>
        <w:pStyle w:val="Heading2"/>
      </w:pPr>
      <w:r>
        <w:t>Few-shot 输入材料与迭代</w:t>
      </w:r>
    </w:p>
    <w:p>
      <w:r>
        <w:t>迭代 1–6：组件架构样本。 记录了 8 个来源：al-folio、Shaoyan Liu academic-homepage、Jiya Batra ArtPortfolio-jtc、MichaelKolesidis 个人站、Scrapbook Portfolio（aalinchen）、Photography Wall（Gabriel-Dalton）、Korbinian Möller 模板、HiteshNandakumar 作品集。示例归纳导航、作品展示、展开详情与能力呈现的结构规则。</w:t>
      </w:r>
    </w:p>
    <w:p>
      <w:r>
        <w:t>迭代 7：页面骨架筛选。 采用Ladvace/astro-bento-portfolio、codewithsadee/vcard-personal-portfolio、chrstnvi/zine-moskovskaya-excursia；弃用 vivek9patel/vivek9patel.github.io、Cveinnt/LiveTerm、hackclub/scrapbook、rammcodes/Dopefolio。最终选择“左侧身份与导航栏 +右侧内容窗口”，因为它改变页面阅读模型且保留内容可发现性。</w:t>
      </w:r>
    </w:p>
    <w:p>
      <w:r>
        <w:t>迭代 10：Life 图墙。 比较 Grid、Collage、Justified、Masonry、Slideshow 等画廊模式，参考 SmugMug、60 MinuteSites、mediagallery.org、master-addons masonry 方案，以及 Justified-Gallery、flickr-justified-gallery 等实现。</w:t>
      </w:r>
    </w:p>
    <w:p>
      <w:r>
        <w:t>迭代 9、11、12：未引入新样本；迭代 12 沿用教育经历按需展开与技能可见的范式。来源记录见reference_patterns.md、few_shot_examples_revision7.md、gallery_pattern_sweep.md。</w:t>
      </w:r>
    </w:p>
    <w:p>
      <w:pPr>
        <w:pStyle w:val="Heading2"/>
      </w:pPr>
      <w:r>
        <w:t>模型输出与可观察变化</w:t>
      </w:r>
    </w:p>
    <w:p>
      <w:pPr>
        <w:pStyle w:val="ListBullet"/>
      </w:pPr>
      <w:r>
        <w:t>页面外壳由 V0 的纵向平铺内容重构为常驻档案侧栏和章节内容窗口；项目故事、教育展开、Life图墙等采用对应的组件结构。</w:t>
      </w:r>
    </w:p>
    <w:p>
      <w:pPr>
        <w:pStyle w:val="ListBullet"/>
      </w:pPr>
      <w:r>
        <w:t>页面的主要个人内容继承 V0。V1-R12 的内容一致性记录比较了 48 组文案，报告为零差异、零结构错误。</w:t>
      </w:r>
    </w:p>
    <w:p>
      <w:pPr>
        <w:pStyle w:val="ListBullet"/>
      </w:pPr>
      <w:r>
        <w:t>V1-R12 桌面端 E2E 记录为 35/35检查通过、无页面或控制台错误；涵盖导航、轮播、教育/项目展开、筛选、收藏、媒体、视频、音乐和留言空输入校验。</w:t>
      </w:r>
    </w:p>
    <w:p>
      <w:pPr>
        <w:pStyle w:val="Heading2"/>
      </w:pPr>
      <w:r>
        <w:t>失败尝试与权衡</w:t>
      </w:r>
    </w:p>
    <w:p>
      <w:r>
        <w:t>早期迭代主要改变颜色、间距和局部卡片，页面仍像 V0，无法体现 Few-shot对结构的作用；后续改用整页骨架示例并替换主要容器。代价是布局层级更复杂，且 Guestbook有效提交、长度限制、全面移动端与对比度审计仍缺少同等强度的证据。</w:t>
      </w:r>
    </w:p>
    <w:p>
      <w:r>
        <w:rPr>
          <w:b/>
        </w:rPr>
        <w:t>V1 部署：https://liuxinyue84-sketch.github.io/V1/。生成提示、示例、版本输出和逐轮改动记录保存在prompt_appendix/task3_v1。</w:t>
      </w:r>
    </w:p>
    <w:p>
      <w:r>
        <w:br w:type="page"/>
      </w:r>
    </w:p>
    <w:p>
      <w:pPr>
        <w:pStyle w:val="Heading1"/>
      </w:pPr>
      <w:r>
        <w:t>3. V2：前端可演示的 RAG</w:t>
      </w:r>
    </w:p>
    <w:p>
      <w:r>
        <w:t>V2 完全从冻结 V0 独立派生，只升级课程笔记问答板块；没有复制 V1 的时间线、skill-chip 或页面骨架。静态 GitHubPages 无法安全保管 API 密钥，也没有后端代理，因此该版本不调用外部 LLM API。它展示的是可审计的前端 RAG模拟工作流，回答由确定性检索、过滤与摘要规则组织，不应描述为真实 LLM 生成。</w:t>
      </w:r>
    </w:p>
    <w:p>
      <w:pPr>
        <w:pStyle w:val="Heading2"/>
      </w:pPr>
      <w:r>
        <w:t>RAG 链路</w:t>
      </w:r>
    </w:p>
    <w:p>
      <w:pPr>
        <w:pStyle w:val="ListBullet"/>
      </w:pPr>
      <w:r>
        <w:t>知识库：将课程笔记、论文及项目材料结构化为主题标题、原文段落和来源信息，数据存储于前端 JavaScript。</w:t>
      </w:r>
    </w:p>
    <w:p>
      <w:pPr>
        <w:pStyle w:val="ListBullet"/>
      </w:pPr>
      <w:r>
        <w:t>召回：用户输入 query 后执行 BM25 关键词检索，返回多条候选片段；原始命中保留在参考区供核查。</w:t>
      </w:r>
    </w:p>
    <w:p>
      <w:pPr>
        <w:pStyle w:val="ListBullet"/>
      </w:pPr>
      <w:r>
        <w:t>相关性与排序：标题门控优先要求标题直接对应主题；在通过门控的候选中，以 baseConceptScore对定义/概述类标题加权、对对比/偏置/变体类标题降权。正文偶然出现关键词的噪声仍可在证据区查看，但不进入答案。</w:t>
      </w:r>
    </w:p>
    <w:p>
      <w:pPr>
        <w:pStyle w:val="ListBullet"/>
      </w:pPr>
      <w:r>
        <w:t>答案与引用：从有效片段提炼简洁英文回答，并将引用编号放在相应句末；如果没有有效相关片段，统一显示资料不足提示。每条子句须与其引用片段一致，防止跨主题拼接公式或结论。</w:t>
      </w:r>
    </w:p>
    <w:p>
      <w:pPr>
        <w:pStyle w:val="Heading2"/>
      </w:pPr>
      <w:r>
        <w:t>普通访客界面</w:t>
      </w:r>
    </w:p>
    <w:p>
      <w:r>
        <w:t>页面呈现简洁的 “Explore my notes” 查询界面、Answer 卡片及默认收起的 “View Retrieved Reference Materials”折叠区。访客主动展开后可以查看经过清洗的片段和来源；内部 prompt、开发备注与 KB编号不直接暴露。预设问题用于覆盖课程主题，另有模糊和超出知识库范围的输入以验证回退行为。</w:t>
      </w:r>
    </w:p>
    <w:p>
      <w:pPr>
        <w:pStyle w:val="Heading2"/>
      </w:pPr>
      <w:r>
        <w:t>技术边界</w:t>
      </w:r>
    </w:p>
    <w:p>
      <w:r>
        <w:t>该实现适合展示“召回—相关性筛选—证据引用—无资料回退”的实验流程，不代表具备语义向量检索或通用自然语言理解能力。</w:t>
      </w:r>
    </w:p>
    <w:p>
      <w:r>
        <w:t>关键词召回和标题规则仍可能漏掉同义表达、较长概念解释或跨语言术语；非真实生成也限制答案的语言自然度与开放式综合能力。</w:t>
      </w:r>
    </w:p>
    <w:p>
      <w:r>
        <w:br w:type="page"/>
      </w:r>
    </w:p>
    <w:p>
      <w:pPr>
        <w:pStyle w:val="Heading1"/>
      </w:pPr>
      <w:r>
        <w:t>4. V2 关键迭代与实测证据</w:t>
      </w:r>
    </w:p>
    <w:p>
      <w:r>
        <w:t>本版本围绕检索结果与答案质量进行多轮通用逻辑修正，避免为单条 query 写专属答案或特例。每一阶段的prompt、检索证据、失败现象和代码变化保存在 task3/v2 及提交附录。</w:t>
      </w:r>
    </w:p>
    <w:p>
      <w:pPr>
        <w:pStyle w:val="Heading2"/>
      </w:pPr>
      <w:r>
        <w:t>关键迭代过程</w:t>
      </w:r>
    </w:p>
    <w:p>
      <w:pPr>
        <w:pStyle w:val="ListBullet"/>
      </w:pPr>
      <w:r>
        <w:t>修复检索与生成分支脱节：只要存在有效片段，Answer 必须生成；仅当有效片段数为零时显示固定英文不足提示。</w:t>
      </w:r>
    </w:p>
    <w:p>
      <w:pPr>
        <w:pStyle w:val="ListBullet"/>
      </w:pPr>
      <w:r>
        <w:t>清理访客界面：移除内部 prompt 显示和中文调试快捷项；原始证据默认折叠，清洗 Markdown、KB 标号与公式残留。</w:t>
      </w:r>
    </w:p>
    <w:p>
      <w:pPr>
        <w:pStyle w:val="ListBullet"/>
      </w:pPr>
      <w:r>
        <w:t>从“字面命中即回答”改为通用标题门控和二次排序：保留全部召回用于作业证据，仅以主题直接对应、标题概念得分较高的条目生成答案。</w:t>
      </w:r>
    </w:p>
    <w:p>
      <w:pPr>
        <w:pStyle w:val="ListBullet"/>
      </w:pPr>
      <w:r>
        <w:t>统一答案格式：总起定义加解释性分点，句末引用；支持中文查询与英文术语匹配，噪声留在证据区但过滤出答案。</w:t>
      </w:r>
    </w:p>
    <w:p>
      <w:pPr>
        <w:pStyle w:val="ListBullet"/>
      </w:pPr>
      <w:r>
        <w:t>增加来源一致性检查：每个答案句子、公式和结论都必须由其标注的引用支持，剔除混入的其他模型公式或旁支信息。</w:t>
      </w:r>
    </w:p>
    <w:p>
      <w:pPr>
        <w:pStyle w:val="Heading2"/>
      </w:pPr>
      <w:r>
        <w:t>公开端到端测试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7"/>
        <w:gridCol w:w="3277"/>
        <w:gridCol w:w="3277"/>
      </w:tblGrid>
      <w:tr>
        <w:tc>
          <w:tcPr>
            <w:tcW w:type="dxa" w:w="3277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测试范围</w:t>
            </w:r>
          </w:p>
        </w:tc>
        <w:tc>
          <w:tcPr>
            <w:tcW w:type="dxa" w:w="3277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结果</w:t>
            </w:r>
          </w:p>
        </w:tc>
        <w:tc>
          <w:tcPr>
            <w:tcW w:type="dxa" w:w="3277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RAG 问答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9/9 通过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公开 GitHub Pages；RAG、MapReduce、memory、tool use、中文 agent、CNN、MCP、模糊及越界查询；验证引用、折叠证据与回退</w:t>
            </w:r>
          </w:p>
        </w:tc>
      </w:tr>
      <w:tr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非 RAG 页面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13 项通过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导航、教育展开、4 个项目、详情、筛选、收藏、Life 媒体、图片预览及 Guestbook 表单</w:t>
            </w:r>
          </w:p>
        </w:tc>
      </w:tr>
      <w:tr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控制台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 项 404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非 RAG 测试发现一个资源 404；记录称来源与影响未定位，不能声称无缺陷</w:t>
            </w:r>
          </w:p>
        </w:tc>
      </w:tr>
      <w:tr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回归检查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28 query / 10 invariants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用于验证一般检索与答案规则，而非只覆盖单一问题</w:t>
            </w:r>
          </w:p>
        </w:tc>
      </w:tr>
    </w:tbl>
    <w:p>
      <w:pPr>
        <w:spacing w:after="20"/>
      </w:pPr>
    </w:p>
    <w:p>
      <w:pPr>
        <w:pStyle w:val="Heading2"/>
      </w:pPr>
      <w:r>
        <w:t>实测位置与保留限制</w:t>
      </w:r>
    </w:p>
    <w:p>
      <w:r>
        <w:t>测试环境为公开 V2 URL 的桌面视口 1512×1000。RAG 九项记录报告全部通过且无控制台错误；非 RAG 页面清单报告 13项通过，但存在一项 404。另有 28-query/10-invariant 的本地回归记录。以上结果支持代表性桌面任务，不证明任意query 语义正确、页面跨浏览器无障碍或刷新/新会话后的所有持久化行为。</w:t>
      </w:r>
    </w:p>
    <w:p>
      <w:r>
        <w:rPr>
          <w:b/>
        </w:rPr>
        <w:t>公开 V2：https://liuxinyue84-sketch.github.io/V2/。证据见task3/v2/evaluation/e2e_results_v2.json、nonrag_public_e2e.json、回归脚本及截图。</w:t>
      </w:r>
    </w:p>
    <w:p>
      <w:r>
        <w:br w:type="page"/>
      </w:r>
    </w:p>
    <w:p>
      <w:pPr>
        <w:pStyle w:val="Heading1"/>
      </w:pPr>
      <w:r>
        <w:t>5. 固定评估规则与独立 AI Judge</w:t>
      </w:r>
    </w:p>
    <w:p>
      <w:r>
        <w:t>任务 2 官方 Judge rubric 固定为四项指标：Content Completeness &amp; Clear Contribution（30%）、Navigation &amp;Task Completion（25%）、Readability &amp; Visual Consistency（25%）、Interaction Robustness（20%）。Judge每项按 0–5 评分并按权重换算；分别使用独立空白会话，只提供评分标准和网页证据，不提供人工评分。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8"/>
        <w:gridCol w:w="1638"/>
        <w:gridCol w:w="1638"/>
        <w:gridCol w:w="1638"/>
        <w:gridCol w:w="1638"/>
        <w:gridCol w:w="1638"/>
      </w:tblGrid>
      <w:tr>
        <w:tc>
          <w:tcPr>
            <w:tcW w:type="dxa" w:w="163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版本</w:t>
            </w:r>
          </w:p>
        </w:tc>
        <w:tc>
          <w:tcPr>
            <w:tcW w:type="dxa" w:w="163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内容 /5</w:t>
            </w:r>
          </w:p>
        </w:tc>
        <w:tc>
          <w:tcPr>
            <w:tcW w:type="dxa" w:w="163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导航 /5</w:t>
            </w:r>
          </w:p>
        </w:tc>
        <w:tc>
          <w:tcPr>
            <w:tcW w:type="dxa" w:w="163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可读性 /5</w:t>
            </w:r>
          </w:p>
        </w:tc>
        <w:tc>
          <w:tcPr>
            <w:tcW w:type="dxa" w:w="163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稳健 /5</w:t>
            </w:r>
          </w:p>
        </w:tc>
        <w:tc>
          <w:tcPr>
            <w:tcW w:type="dxa" w:w="163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AI Judge 报告总分</w:t>
            </w:r>
          </w:p>
        </w:tc>
      </w:tr>
      <w:tr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V0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81/100</w:t>
            </w:r>
          </w:p>
        </w:tc>
      </w:tr>
      <w:tr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V1 Few-shot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85/100*</w:t>
            </w:r>
          </w:p>
        </w:tc>
      </w:tr>
      <w:tr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V2 RAG 重测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3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91/100</w:t>
            </w:r>
          </w:p>
        </w:tc>
      </w:tr>
    </w:tbl>
    <w:p>
      <w:pPr>
        <w:spacing w:after="20"/>
      </w:pPr>
    </w:p>
    <w:p>
      <w:pPr>
        <w:pStyle w:val="Heading2"/>
      </w:pPr>
      <w:r>
        <w:t>Judge 结论摘要</w:t>
      </w:r>
    </w:p>
    <w:p>
      <w:pPr>
        <w:pStyle w:val="ListBullet"/>
      </w:pPr>
      <w:r>
        <w:t>V0：认为核心内容与贡献完整，主要桌面交互多数通过；MapReduce 检索排序和有限视觉证据拉低结果。</w:t>
      </w:r>
    </w:p>
    <w:p>
      <w:pPr>
        <w:pStyle w:val="ListBullet"/>
      </w:pPr>
      <w:r>
        <w:t>V1：认可 48 组内容一致性、35/35 桌面 E2E 与结构重构；有效留言提交、长度边界及完整移动端证据仍不足。</w:t>
      </w:r>
    </w:p>
    <w:p>
      <w:pPr>
        <w:pStyle w:val="ListBullet"/>
      </w:pPr>
      <w:r>
        <w:t>V2：重测证据涵盖 9 项 RAG 和 13 项非 RAG 检查，导航从早期证据所支持的 3/5 升到 5/5；视觉与稳健性仍各为4/5，受单项 404、桌面视口和持久化覆盖限制。</w:t>
      </w:r>
    </w:p>
    <w:p>
      <w:r>
        <w:t>AI 原始输出归档：V0/V1 位于 coursework/evaluation；仅保留 V2 最新重测原始输出于task3/v2/evaluation/ai_judge_raw_output_rerun_2026-10-28.md。早期 V2 Judge 结果不纳入当前报告比较。</w:t>
      </w:r>
    </w:p>
    <w:p>
      <w:r>
        <w:br w:type="page"/>
      </w:r>
    </w:p>
    <w:p>
      <w:pPr>
        <w:pStyle w:val="Heading1"/>
      </w:pPr>
      <w:r>
        <w:t>6. 人工补充评分与人机对照</w:t>
      </w:r>
    </w:p>
    <w:p>
      <w:r>
        <w:t>人工补充评分采用用户确认的五维加权点数表：Content /20、Experience /20、Technique /30、Robustness/20、Evidence /10。此表由人工完成，和四项官方 Judge rubric 的分数口径不同，不能把列值直接与 AI 的单项 0–5分比较。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4"/>
        <w:gridCol w:w="1404"/>
        <w:gridCol w:w="1404"/>
        <w:gridCol w:w="1404"/>
        <w:gridCol w:w="1404"/>
        <w:gridCol w:w="1404"/>
        <w:gridCol w:w="1404"/>
      </w:tblGrid>
      <w:tr>
        <w:tc>
          <w:tcPr>
            <w:tcW w:type="dxa" w:w="1404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版本</w:t>
            </w:r>
          </w:p>
        </w:tc>
        <w:tc>
          <w:tcPr>
            <w:tcW w:type="dxa" w:w="1404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内容 /20</w:t>
            </w:r>
          </w:p>
        </w:tc>
        <w:tc>
          <w:tcPr>
            <w:tcW w:type="dxa" w:w="1404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体验 /20</w:t>
            </w:r>
          </w:p>
        </w:tc>
        <w:tc>
          <w:tcPr>
            <w:tcW w:type="dxa" w:w="1404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技术 /30</w:t>
            </w:r>
          </w:p>
        </w:tc>
        <w:tc>
          <w:tcPr>
            <w:tcW w:type="dxa" w:w="1404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稳健 /20</w:t>
            </w:r>
          </w:p>
        </w:tc>
        <w:tc>
          <w:tcPr>
            <w:tcW w:type="dxa" w:w="1404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证据 /10</w:t>
            </w:r>
          </w:p>
        </w:tc>
        <w:tc>
          <w:tcPr>
            <w:tcW w:type="dxa" w:w="1404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人工总分</w:t>
            </w:r>
          </w:p>
        </w:tc>
      </w:tr>
      <w:tr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V0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79</w:t>
            </w:r>
          </w:p>
        </w:tc>
      </w:tr>
      <w:tr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V1 Few-shot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90</w:t>
            </w:r>
          </w:p>
        </w:tc>
      </w:tr>
      <w:tr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V2 RAG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28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404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91</w:t>
            </w:r>
          </w:p>
        </w:tc>
      </w:tr>
    </w:tbl>
    <w:p>
      <w:pPr>
        <w:spacing w:after="20"/>
      </w:pPr>
    </w:p>
    <w:p>
      <w:pPr>
        <w:pStyle w:val="Heading2"/>
      </w:pPr>
      <w:r>
        <w:t>人机对照（均为各自口径的总分）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8"/>
        <w:gridCol w:w="2458"/>
        <w:gridCol w:w="2458"/>
        <w:gridCol w:w="2458"/>
      </w:tblGrid>
      <w:tr>
        <w:tc>
          <w:tcPr>
            <w:tcW w:type="dxa" w:w="245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版本</w:t>
            </w:r>
          </w:p>
        </w:tc>
        <w:tc>
          <w:tcPr>
            <w:tcW w:type="dxa" w:w="245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人工补充分</w:t>
            </w:r>
          </w:p>
        </w:tc>
        <w:tc>
          <w:tcPr>
            <w:tcW w:type="dxa" w:w="245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官方 AI Judge</w:t>
            </w:r>
          </w:p>
        </w:tc>
        <w:tc>
          <w:tcPr>
            <w:tcW w:type="dxa" w:w="2458"/>
            <w:vAlign w:val="center"/>
            <w:shd w:fill="DCEEF1"/>
          </w:tcPr>
          <w:p>
            <w:pPr>
              <w:spacing w:after="40"/>
            </w:pPr>
            <w:r>
              <w:rPr>
                <w:b/>
                <w:sz w:val="17"/>
              </w:rPr>
              <w:t>差值与解释</w:t>
            </w:r>
          </w:p>
        </w:tc>
      </w:tr>
      <w:tr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V0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79/100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81/100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AI 高 2 分；AI 认为内容完整，人工更保守评估体验与证据。</w:t>
            </w:r>
          </w:p>
        </w:tc>
      </w:tr>
      <w:tr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V1 Few-shot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90/100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85/100*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人工高 5 分；人工认可结构和体验提升，Judge 对有效留言及移动端证据缺口较保守。</w:t>
            </w:r>
          </w:p>
        </w:tc>
      </w:tr>
      <w:tr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V2 RAG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91/100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91/100</w:t>
            </w:r>
          </w:p>
        </w:tc>
        <w:tc>
          <w:tcPr>
            <w:tcW w:type="dxa" w:w="2458"/>
            <w:vAlign w:val="center"/>
          </w:tcPr>
          <w:p>
            <w:pPr>
              <w:spacing w:after="40"/>
            </w:pPr>
            <w:r>
              <w:rPr>
                <w:b w:val="0"/>
                <w:sz w:val="17"/>
              </w:rPr>
              <w:t>总分一致；Judge 导航给 5，人工给 4，其他维度差异抵消。</w:t>
            </w:r>
          </w:p>
        </w:tc>
      </w:tr>
    </w:tbl>
    <w:p>
      <w:pPr>
        <w:spacing w:after="20"/>
      </w:pPr>
    </w:p>
    <w:p>
      <w:pPr>
        <w:pStyle w:val="Heading2"/>
      </w:pPr>
      <w:r>
        <w:t>解释与局限</w:t>
      </w:r>
    </w:p>
    <w:p>
      <w:r>
        <w:t>人工评分更强调版本的主观体验、技术完成度和归档证据；AI Judge 按四项固定 rubric和当次可见证据给分，因此能独立复核但受证据包完整性、截图视口及测试覆盖影响。V2总分相同不代表逐项判断一致；V1 的 85/86 分差异是原始 AI输出内部算术不一致，已公开保留。五维人工表是用户确认的补充量表，不应伪称为原任务 rubric。</w:t>
      </w:r>
    </w:p>
    <w:p>
      <w:r>
        <w:br w:type="page"/>
      </w:r>
    </w:p>
    <w:p>
      <w:pPr>
        <w:pStyle w:val="Heading1"/>
      </w:pPr>
      <w:r>
        <w:t>7. 结论、权衡与提交归档</w:t>
      </w:r>
    </w:p>
    <w:p>
      <w:r>
        <w:t>三版本人工补充总分为 V0 79、V1 90、V2 91；官方独立 AI Judge 结果为 V0 81、V1 原始报告 85（分项重算 86）、V2最新重测 91。两种评分均显示优化版本整体表现更高，但分数提升需结合页面与功能证据解释。</w:t>
      </w:r>
    </w:p>
    <w:p>
      <w:pPr>
        <w:pStyle w:val="Heading2"/>
      </w:pPr>
      <w:r>
        <w:t>主要结论</w:t>
      </w:r>
    </w:p>
    <w:p>
      <w:pPr>
        <w:pStyle w:val="ListBullet"/>
      </w:pPr>
      <w:r>
        <w:t>V1 的主要贡献是将 Few-shot 示例落实为可观察的页面骨架和组件结构变化，并用内容一致性与 E2E记录支撑“个人信息保留、结构显著变化”。</w:t>
      </w:r>
    </w:p>
    <w:p>
      <w:pPr>
        <w:pStyle w:val="ListBullet"/>
      </w:pPr>
      <w:r>
        <w:t>V2 的主要贡献是把原有关键词检索扩展为有相关性筛选、证据折叠、来源引用及资料不足回退的 RAG 演示链路。</w:t>
      </w:r>
    </w:p>
    <w:p>
      <w:pPr>
        <w:pStyle w:val="ListBullet"/>
      </w:pPr>
      <w:r>
        <w:t>V1、V2 解决目标不同：V1 优化整体信息架构与浏览体验；V2 聚焦知识问答的可追溯性与证据边界。静态前端限制使 V2不能提供真实 LLM 的开放式生成。</w:t>
      </w:r>
    </w:p>
    <w:p>
      <w:pPr>
        <w:pStyle w:val="Heading2"/>
      </w:pPr>
      <w:r>
        <w:t>尚存限制与诚实披露</w:t>
      </w:r>
    </w:p>
    <w:p>
      <w:pPr>
        <w:pStyle w:val="ListBullet"/>
      </w:pPr>
      <w:r>
        <w:t>公开非 RAG E2E 有一项 404，尚未定位资源与影响；桌面之外的响应式与辅助技术行为没有充分验证。</w:t>
      </w:r>
    </w:p>
    <w:p>
      <w:pPr>
        <w:pStyle w:val="ListBullet"/>
      </w:pPr>
      <w:r>
        <w:t>V2 代表性问题和 28-query 回归不等于任意查询正确；BM25/标题规则会有漏召回、误排序和翻译不自然风险。</w:t>
      </w:r>
    </w:p>
    <w:p>
      <w:pPr>
        <w:pStyle w:val="ListBullet"/>
      </w:pPr>
      <w:r>
        <w:t>历史 Trae 对话存在未导出部分，须以附录标注的重建稿作为有限记录，不能声称已保存全部原始对话。</w:t>
      </w:r>
    </w:p>
    <w:p>
      <w:pPr>
        <w:pStyle w:val="Heading2"/>
      </w:pPr>
      <w:r>
        <w:t>交付结构</w:t>
      </w:r>
    </w:p>
    <w:p>
      <w:r>
        <w:t>website/：V0、V1、V2 独立源码及资源；evaluation/：rubric、人工评分、AI Judge prompt与原始输出、公开/本地测试结果和截图；prompt_appendix/：V0 原始/重建 prompt、Few-shot样本、模型输出、RAG 输入和关键迭代；report.pdf：本中文版主报告。各版本 README说明本地运行方式；公开地址列于首页。补充评分文件保存了人工总分，但 V0/V1的逐指标支撑实例尚未完整填写；本报告不代写成用户的原始评语。</w:t>
      </w:r>
    </w:p>
    <w:p>
      <w:r>
        <w:t>最终检查重点：确认归档包内三个网站版本和素材均齐全；原始 Judge 输出未被改写；V2 只引用 2026-10-28 最新重测；V0冻结哈希保持一致。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8919B"/>
        <w:sz w:val="16"/>
      </w:rPr>
      <w:t>COMP5583 · Aria’s Sky Journal · 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color w:val="374E5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555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5278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Arial" w:hAnsi="Arial" w:eastAsia="Arial"/>
      <w:b/>
      <w:color w:val="35556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COMP5583 三版本网站与智能体技术优化实验报告（中文版）</dc:title>
  <dc:subject>V0 baseline, V1 Few-shot, V2 RAG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